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5683BD">
      <w:pPr>
        <w:pBdr/>
        <w:spacing/>
        <w:ind/>
        <w:rPr/>
      </w:pP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26F47B70">
          <w:pPr>
            <w:pStyle w:val="916"/>
            <w:pBdr/>
            <w:tabs>
              <w:tab w:val="right" w:leader="dot" w:pos="9355"/>
            </w:tabs>
            <w:spacing w:line="360" w:lineRule="auto"/>
            <w:ind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  <w:t xml:space="preserve">СОДЕРЖАНИЕ</w:t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  <w:br/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hyperlink w:tooltip="#_Toc1" w:anchor="_Toc1" w:history="1"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ВВЕДЕНИЕ</w:t>
            </w:r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  <w14:ligatures w14:val="none"/>
            </w:rPr>
          </w:r>
        </w:p>
        <w:p w14:paraId="7E8B3D48">
          <w:pPr>
            <w:pStyle w:val="916"/>
            <w:pBdr/>
            <w:tabs>
              <w:tab w:val="right" w:leader="dot" w:pos="9355"/>
            </w:tabs>
            <w:spacing w:line="360" w:lineRule="auto"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2" w:anchor="_Toc2" w:history="1"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1. Событийная модель домена в DDD</w:t>
            </w:r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7DEA064B">
          <w:pPr>
            <w:pStyle w:val="916"/>
            <w:pBdr/>
            <w:tabs>
              <w:tab w:val="right" w:leader="dot" w:pos="9355"/>
            </w:tabs>
            <w:spacing w:line="360" w:lineRule="auto"/>
            <w:ind/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  <w:u w:val="none"/>
            </w:rPr>
          </w:pPr>
          <w:r/>
          <w:hyperlink w:tooltip="#_Toc3" w:anchor="_Toc3" w:history="1"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  <w:u w:val="none"/>
              </w:rPr>
              <w:t xml:space="preserve">2. Спецификации API для REST/GraphQL</w:t>
            </w:r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  <w:u w:val="none"/>
            </w:rPr>
          </w:r>
        </w:p>
        <w:p w14:paraId="23C96741">
          <w:pPr>
            <w:pStyle w:val="916"/>
            <w:pBdr/>
            <w:tabs>
              <w:tab w:val="right" w:leader="dot" w:pos="9355"/>
            </w:tabs>
            <w:spacing w:line="360" w:lineRule="auto"/>
            <w:ind/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  <w:highlight w:val="none"/>
              <w:u w:val="none"/>
            </w:rPr>
          </w:pPr>
          <w:r/>
          <w:hyperlink w:tooltip="#_Toc4" w:anchor="_Toc4" w:history="1"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  <w:u w:val="none"/>
              </w:rPr>
              <w:t xml:space="preserve">3. Инструменты генерации и валидации</w:t>
            </w:r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  <w:highlight w:val="none"/>
              <w:u w:val="none"/>
            </w:rPr>
          </w:r>
        </w:p>
        <w:p w14:paraId="0D4497A6">
          <w:pPr>
            <w:pStyle w:val="916"/>
            <w:pBdr/>
            <w:tabs>
              <w:tab w:val="right" w:leader="dot" w:pos="9355"/>
            </w:tabs>
            <w:spacing w:line="360" w:lineRule="auto"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pPr>
          <w:r/>
          <w:hyperlink w:tooltip="#_Toc5" w:anchor="_Toc5" w:history="1"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ЗАКЛЮЧЕНИЕ</w:t>
            </w:r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</w:p>
        <w:p w14:paraId="7E79D9A1">
          <w:pPr>
            <w:pStyle w:val="916"/>
            <w:pBdr/>
            <w:tabs>
              <w:tab w:val="right" w:leader="dot" w:pos="9355"/>
            </w:tabs>
            <w:spacing w:line="360" w:lineRule="auto"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pPr>
          <w:r/>
          <w:hyperlink w:tooltip="#_Toc6" w:anchor="_Toc6" w:history="1"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 xml:space="preserve">СПИСОК ИСПОЛЬЗОВАННЫХ ИСТОЧНИКОВ</w:t>
            </w:r>
            <w:r>
              <w:rPr>
                <w:rStyle w:val="914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u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_Toc6 \h</w:instrText>
              <w:fldChar w:fldCharType="separate"/>
              <w:t xml:space="preserve">27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highlight w:val="none"/>
              <w:u w:val="none"/>
              <w14:ligatures w14:val="none"/>
            </w:rPr>
          </w:r>
        </w:p>
        <w:p w14:paraId="256542AC">
          <w:pPr>
            <w:pBdr/>
            <w:spacing w:line="360" w:lineRule="auto"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</w:p>
      </w:sdtContent>
    </w:sdt>
    <w:p w14:paraId="34C7B94F">
      <w:pPr>
        <w:pStyle w:val="933"/>
        <w:pBdr/>
        <w:spacing w:line="360" w:lineRule="auto"/>
        <w:ind w:right="0" w:firstLine="0" w:left="0"/>
        <w:rPr/>
      </w:pPr>
      <w:r>
        <w:br w:type="page" w:clear="all"/>
      </w:r>
      <w:r/>
    </w:p>
    <w:p w14:paraId="2924F6AF">
      <w:pPr>
        <w:pStyle w:val="869"/>
        <w:pBdr/>
        <w:spacing/>
        <w:ind w:right="0" w:firstLine="709" w:left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ligatures w14:val="none"/>
        </w:rPr>
      </w:pPr>
      <w:r/>
      <w:bookmarkStart w:id="1" w:name="_Toc1"/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r>
      <w:bookmarkEnd w:id="1"/>
      <w:r/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ligatures w14:val="none"/>
        </w:rPr>
      </w:r>
    </w:p>
    <w:p w14:paraId="38C64DCA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данной практической работе будет рассмотрен автоматический проектировщик API по событийной модели домена, будет дано определение событийной модели в DDD, её структура и особенности. Также будет описана архитектура инструмента генерации REST/GraphQL API,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стемно-техническая инфраструктура на базе языка программирования Go, и какие ключевые компоненты включает инструмент (импорт моделей, валидация, визуализация и генерация спецификаций). Разобрана общая структура процесса автоматической генерации API из ката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лога событий и команд предметной области.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34F4BBC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удет рассмотрено применение инструмента для быстрого прототипирования API, приведены примеры реальных событийных моделей (например, из проектов Eventuous, e-commerce домен). Также будет подробно описан принцип работы генератора, анализ классификации событи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 типы (создание, обновление, удаление) и особенности проектирования API на Go. Будут рассмотрены ключевые библиотеки и инструменты экосистемы Go для генерации и валидации OpenAPI/AsyncAPI спецификаций, а также интеграция с CI/CD и визуализация через Swa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gger UI.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работе будет отражено использование автоматического проектировщика для повышения эффективности архитектурного планирования микросервисов и контроля консистентности моделей. Особое внимание уделено обеспечению производительности генерации (время &lt;5 секунд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100+ событий) и удобству использования инструментов в реальных разработческих процессах.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77F4E1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274792">
      <w:pPr>
        <w:pStyle w:val="869"/>
        <w:pBdr/>
        <w:spacing/>
        <w:ind w:right="0" w:firstLine="709" w:left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none"/>
        </w:rPr>
      </w:pPr>
      <w:r/>
      <w:bookmarkStart w:id="2" w:name="_Toc2"/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1. Событийная модель домена в DDD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r>
      <w:bookmarkEnd w:id="2"/>
      <w:r/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none"/>
        </w:rPr>
      </w:r>
    </w:p>
    <w:p w14:paraId="1FF54F47">
      <w:pPr>
        <w:pBdr/>
        <w:spacing w:line="360" w:lineRule="auto"/>
        <w:ind w:right="0" w:firstLine="709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1.1 Определение ключевых понятий DDD</w:t>
      </w:r>
      <w:r>
        <w:rPr>
          <w:b w:val="0"/>
          <w:bCs w:val="0"/>
          <w:sz w:val="18"/>
          <w:szCs w:val="18"/>
        </w:rPr>
      </w:r>
      <w:r>
        <w:rPr>
          <w:b w:val="0"/>
          <w:bCs w:val="0"/>
          <w:sz w:val="28"/>
          <w:szCs w:val="28"/>
        </w:rPr>
      </w:r>
    </w:p>
    <w:p w14:paraId="71711C43">
      <w:pPr>
        <w:pBdr/>
        <w:spacing w:line="360" w:lineRule="auto"/>
        <w:ind w:right="0" w:firstLine="709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В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 предметно-ориентированном проектировании (Domain-Driven Design, DDD) доменная модель представляет собой формальное описание ключевых концепций и бизнес-правил предметной области, вокруг которой строится программное обеспечение. Основная цель DDD – создани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е чёткой, выразительной и понятной модели, которая отражает реальные бизнес-процессы и их логику.</w:t>
      </w:r>
      <w:r>
        <w:rPr>
          <w:b w:val="0"/>
          <w:bCs w:val="0"/>
          <w:sz w:val="18"/>
          <w:szCs w:val="18"/>
        </w:rPr>
      </w:r>
      <w:r>
        <w:rPr>
          <w:b w:val="0"/>
          <w:bCs w:val="0"/>
          <w:sz w:val="28"/>
          <w:szCs w:val="28"/>
        </w:rPr>
      </w:r>
    </w:p>
    <w:p w14:paraId="47E64052">
      <w:pPr>
        <w:pBdr/>
        <w:spacing w:line="360" w:lineRule="auto"/>
        <w:ind w:right="0" w:firstLine="709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18"/>
          <w:szCs w:val="18"/>
        </w:rPr>
      </w:r>
      <w:r>
        <w:rPr>
          <w:b w:val="0"/>
          <w:bCs w:val="0"/>
          <w:sz w:val="28"/>
          <w:szCs w:val="28"/>
        </w:rPr>
      </w:r>
    </w:p>
    <w:p w14:paraId="22567F29">
      <w:pPr>
        <w:pBdr/>
        <w:spacing w:line="360" w:lineRule="auto"/>
        <w:ind w:right="0" w:firstLine="709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Важными элементами доменной модели являются: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03F24D71">
      <w:pPr>
        <w:pStyle w:val="932"/>
        <w:numPr>
          <w:ilvl w:val="0"/>
          <w:numId w:val="2"/>
        </w:numPr>
        <w:pBdr/>
        <w:spacing w:line="360" w:lineRule="auto"/>
        <w:ind w:right="0" w:firstLine="709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Агрегаты (Aggregates)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 -  совокупности связанных объектов с корневым элементом (Aggregate Root), который обеспечивает целостность модели и управляет её состоянием. Агрегаты препятствуют созданию сложных взаимозависимостей и ограничивают область видимости изме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нений.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0B7720BE">
      <w:pPr>
        <w:pStyle w:val="932"/>
        <w:numPr>
          <w:ilvl w:val="0"/>
          <w:numId w:val="2"/>
        </w:numPr>
        <w:pBdr/>
        <w:spacing w:line="360" w:lineRule="auto"/>
        <w:ind w:right="0" w:firstLine="709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Bounded Contexts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 -  границы, внутри которых определённая модель домена является единообразной и непротиворечивой. В масштабируемых системах разные bounded contexts могут содержать разные модели одной предметной области, связываясь друг с другом через хорошо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определённые интерфейсы.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6275E882">
      <w:pPr>
        <w:pStyle w:val="932"/>
        <w:numPr>
          <w:ilvl w:val="0"/>
          <w:numId w:val="2"/>
        </w:numPr>
        <w:pBdr/>
        <w:spacing w:line="360" w:lineRule="auto"/>
        <w:ind w:right="0" w:firstLine="709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События (Domain Events)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 -  значимые изменения состояния или факты, произошедшие в доменной модели. Они отражают события в бизнесе (например, "Пользователь зарегистрирован", "Заказ оформлен") и часто служат триггерами для других процессов и систем. События яв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ляются неизменяемыми и используются для асинхронного взаимодействия и интеграции.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0D6667C2">
      <w:pPr>
        <w:pStyle w:val="932"/>
        <w:numPr>
          <w:ilvl w:val="0"/>
          <w:numId w:val="2"/>
        </w:numPr>
        <w:pBdr/>
        <w:spacing w:line="360" w:lineRule="auto"/>
        <w:ind w:right="0" w:firstLine="709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Команды (Commands)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 -  явные запросы на выполнение определённого действия или изменение состояния системы. Команды инициируют процессы и могут приводить к порождению событий. В отличие от событий, команды адресованы определённым обработчикам и представляют со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бой намерения пользователей или систем (например, "Создать пользователя", "Оплатить заказ").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1B7CFA77">
      <w:pPr>
        <w:pBdr/>
        <w:spacing w:line="360" w:lineRule="auto"/>
        <w:ind w:right="0" w:firstLine="709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В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 событийно-ориентированной архитектуре, которая широко применяется в DDD, модель вещи либо процесса строится вокруг последовательности событий, фиксирующих каждое изменение состояния. Такой подход позволяет вести точную историю изменений (Event Sourcing) и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 обеспечивать консистентность через обработку предписываемых команд и реакцию на события.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706719EA">
      <w:pPr>
        <w:pBdr/>
        <w:spacing w:line="360" w:lineRule="auto"/>
        <w:ind w:right="0" w:firstLine="709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В целом, понимание и чёткое разграничение понятий событий и команд является фундаментом для последующего проектирования API, т.к. оно определяет структуру и логику взаимодействия между компонентами системы и внешним миром.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 w14:paraId="4F7EF5F4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Эти понятия будут использоваться для структурирования событийной модели, необходимой для генерации REST/GraphQL API с поддержкой современных подходов к управлению состоянием и контролю бизнес-процессов.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01E8468F">
      <w:pPr>
        <w:pBdr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1.2. Структура событий и команд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D69E3BE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События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(Domain Events) представляют собой неизменяемые записи о значимых изменениях в доменной модели. Они фиксируют факты, произошедшие в прошлом, и служат источником истины для последующей обработки. Стандартная структура события включает следующие поля: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Style w:val="74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 w14:paraId="19F9EAD4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{</w:t>
            </w:r>
            <w:r/>
          </w:p>
          <w:p w14:paraId="75269B1F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"eventId": "uuid",</w:t>
            </w:r>
            <w:r/>
          </w:p>
          <w:p w14:paraId="2230609D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"aggregateId": "uuid", </w:t>
            </w:r>
            <w:r/>
          </w:p>
          <w:p w14:paraId="0CA043B7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"aggregateType": "Order",</w:t>
            </w:r>
            <w:r/>
          </w:p>
          <w:p w14:paraId="4C1150C5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"eventType": "OrderPlaced",</w:t>
            </w:r>
            <w:r/>
          </w:p>
          <w:p w14:paraId="6745A04F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"version": 1,</w:t>
            </w:r>
            <w:r/>
          </w:p>
          <w:p w14:paraId="734168B0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"timestamp": "2025-01-01T10:00:00Z",</w:t>
            </w:r>
            <w:r/>
          </w:p>
          <w:p w14:paraId="3E614954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"payload": {</w:t>
            </w:r>
            <w:r/>
          </w:p>
          <w:p w14:paraId="00D2FE9B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"orderId": "ORD-123",</w:t>
            </w:r>
            <w:r/>
          </w:p>
          <w:p w14:paraId="6F39E8A3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"customerId": "CUST-456",</w:t>
            </w:r>
            <w:r/>
          </w:p>
          <w:p w14:paraId="35C390B4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"items": [...],</w:t>
            </w:r>
            <w:r/>
          </w:p>
          <w:p w14:paraId="2E4647E9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"totalAmount": 1500.00</w:t>
            </w:r>
            <w:r/>
          </w:p>
          <w:p w14:paraId="47D7D4B8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},</w:t>
            </w:r>
            <w:r/>
          </w:p>
          <w:p w14:paraId="2C7EEB8B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"metadata": {</w:t>
            </w:r>
            <w:r/>
          </w:p>
          <w:p w14:paraId="3A972EA2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"correlationId": "uuid",</w:t>
            </w:r>
            <w:r/>
          </w:p>
          <w:p w14:paraId="0BF65F3A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"causationId": "uuid",</w:t>
            </w:r>
            <w:r/>
          </w:p>
          <w:p w14:paraId="113B5D40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"userId": "USR-789"</w:t>
            </w:r>
            <w:r/>
          </w:p>
          <w:p w14:paraId="5B15C783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}</w:t>
            </w:r>
            <w:r/>
          </w:p>
          <w:p w14:paraId="632C3459">
            <w:pPr>
              <w:pBdr/>
              <w:spacing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}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</w:tbl>
    <w:p w14:paraId="0914745F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05C31BB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Команды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(Commands) -  это императивные запросы на изменение состояния агрегата. Они передают намерение и контекст для выполнения операции. Структура команды: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Style w:val="74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 w14:paraId="52E65B56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{</w:t>
            </w:r>
            <w:r/>
          </w:p>
          <w:p w14:paraId="4E8CD4A4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"commandId": "uuid",</w:t>
            </w:r>
            <w:r/>
          </w:p>
          <w:p w14:paraId="25436872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"aggregateId": "uuid",</w:t>
            </w:r>
            <w:r/>
          </w:p>
          <w:p w14:paraId="1D44BCED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"commandType": "PlaceOrder",</w:t>
            </w:r>
            <w:r/>
          </w:p>
          <w:p w14:paraId="78952581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"version": 1,</w:t>
            </w:r>
            <w:r/>
          </w:p>
          <w:p w14:paraId="5F0E3175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"timestamp": "2025-01-01T10:00:00Z",</w:t>
            </w:r>
            <w:r/>
          </w:p>
          <w:p w14:paraId="1235F56B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"payload": {</w:t>
            </w:r>
            <w:r/>
          </w:p>
          <w:p w14:paraId="6AF1554F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"customerId": "CUST-456",</w:t>
            </w:r>
            <w:r/>
          </w:p>
          <w:p w14:paraId="53B8E456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"items": [...],</w:t>
            </w:r>
            <w:r/>
          </w:p>
          <w:p w14:paraId="634654B4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"shippingAddress": {...}</w:t>
            </w:r>
            <w:r/>
          </w:p>
          <w:p w14:paraId="1E90825C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},</w:t>
            </w:r>
            <w:r/>
          </w:p>
          <w:p w14:paraId="3A182A8F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"metadata": {</w:t>
            </w:r>
            <w:r/>
          </w:p>
          <w:p w14:paraId="5AF6B1FC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"correlationId": "uuid",</w:t>
            </w:r>
            <w:r/>
          </w:p>
          <w:p w14:paraId="44357849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"userId": "USR-789",</w:t>
            </w:r>
            <w:r/>
          </w:p>
          <w:p w14:paraId="5315889B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"tenantId": "TEN-001"</w:t>
            </w:r>
            <w:r/>
          </w:p>
          <w:p w14:paraId="673E02E0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}</w:t>
            </w:r>
            <w:r/>
          </w:p>
          <w:p w14:paraId="4E2276EC">
            <w:pPr>
              <w:pBdr/>
              <w:spacing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}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</w:tbl>
    <w:p w14:paraId="49B51348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E033812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Стандарты именования: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0EF6AEC1">
      <w:pPr>
        <w:pStyle w:val="932"/>
        <w:numPr>
          <w:ilvl w:val="0"/>
          <w:numId w:val="3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События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 Past tense + Domain language (UserRegistered, OrderShipped, PaymentFailed)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0DFF498E">
      <w:pPr>
        <w:pStyle w:val="932"/>
        <w:numPr>
          <w:ilvl w:val="0"/>
          <w:numId w:val="3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Команды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 Imperative mood (RegisterUser, ShipOrder, ProcessPayment)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102A350C">
      <w:pPr>
        <w:pStyle w:val="932"/>
        <w:numPr>
          <w:ilvl w:val="0"/>
          <w:numId w:val="3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Payload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 PascalCase для полей, snake_case для баз данных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4904DA09">
      <w:pPr>
        <w:pStyle w:val="932"/>
        <w:numPr>
          <w:ilvl w:val="0"/>
          <w:numId w:val="3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Версионирование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 Semantic versioning (v1.OrderPlaced, v2.OrderCancelled)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43D0716D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Примеры типовых схем: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37C42814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Событие создания - 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UserCreated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Style w:val="74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 w14:paraId="7B730D03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event:</w:t>
            </w:r>
            <w:r/>
          </w:p>
          <w:p w14:paraId="7B34AD9F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type: UserCreated</w:t>
            </w:r>
            <w:r/>
          </w:p>
          <w:p w14:paraId="4341DA86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payload:</w:t>
            </w:r>
            <w:r/>
          </w:p>
          <w:p w14:paraId="75AB659B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userId: string</w:t>
            </w:r>
            <w:r/>
          </w:p>
          <w:p w14:paraId="3347610B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email: string</w:t>
            </w:r>
            <w:r/>
          </w:p>
          <w:p w14:paraId="18E2B2BC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name: string</w:t>
            </w:r>
            <w:r/>
          </w:p>
          <w:p w14:paraId="4FC879D5">
            <w:pPr>
              <w:pBdr/>
              <w:spacing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role: enum[Admin, Customer]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</w:tbl>
    <w:p w14:paraId="0697516C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50A4542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Событие обновления - 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OrderStatusChanged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Style w:val="74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 w14:paraId="7C84E961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event:</w:t>
            </w:r>
            <w:r/>
          </w:p>
          <w:p w14:paraId="53651A0D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type: OrderStatusChanged</w:t>
            </w:r>
            <w:r/>
          </w:p>
          <w:p w14:paraId="75708DB5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payload:</w:t>
            </w:r>
            <w:r/>
          </w:p>
          <w:p w14:paraId="59B5A1FF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orderId: string</w:t>
            </w:r>
            <w:r/>
          </w:p>
          <w:p w14:paraId="58B245E8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newStatus: enum[Pending, Shipped, Delivered]</w:t>
            </w:r>
            <w:r/>
          </w:p>
          <w:p w14:paraId="29756795">
            <w:pPr>
              <w:pBdr/>
              <w:spacing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changedAt: datetime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</w:tbl>
    <w:p w14:paraId="16D1A819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51EF69E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Команда удаления - 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ArchiveOrder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Style w:val="74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 w14:paraId="1ABD104B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command:</w:t>
            </w:r>
            <w:r/>
          </w:p>
          <w:p w14:paraId="3BC3CCEA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type: ArchiveOrder</w:t>
            </w:r>
            <w:r/>
          </w:p>
          <w:p w14:paraId="7103F5A0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payload:</w:t>
            </w:r>
            <w:r/>
          </w:p>
          <w:p w14:paraId="09C3CC86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orderId: string</w:t>
            </w:r>
            <w:r/>
          </w:p>
          <w:p w14:paraId="3E316ABC">
            <w:pPr>
              <w:pBdr/>
              <w:spacing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reason: string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</w:tbl>
    <w:p w14:paraId="07706A09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3EAA1CFB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Такая структура обеспечивает идемпотентность, трассируемость и интероперабельность между сервисами. Метаданные позволяют связывать события в цепочки (correlationId) и отслеживать источник изменений (causationId).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A013457">
      <w:pPr>
        <w:pBdr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1.3. Каталоги событий в реальных проектах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61E21F6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Каталоги событий представляют собой централизованные реестры всех доменных событий и команд, используемых в проекте. Они служат "контрактом" между командами разработки, DevOps и бизнес-аналитиками, обеспечивая единообразие терминологии и структуры данных.</w:t>
      </w:r>
      <w:r/>
    </w:p>
    <w:p w14:paraId="2B3418EE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357D87D2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0F4FDB7B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9A731B5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0DB94801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Основные принципы организации каталогов событий: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477525C">
      <w:pPr>
        <w:pStyle w:val="932"/>
        <w:numPr>
          <w:ilvl w:val="0"/>
          <w:numId w:val="4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Модульная структура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 по Bounded Contexts: каждый контекст содержит свой подкаталог с событиями (booking/, payments/, orders/)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752EB9D5">
      <w:pPr>
        <w:pStyle w:val="932"/>
        <w:numPr>
          <w:ilvl w:val="0"/>
          <w:numId w:val="4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Версионирование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 события хранятся в подпапках по версиям (v1/OrderPlaced.cs, v2/OrderCancelled.cs)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23741215">
      <w:pPr>
        <w:pStyle w:val="932"/>
        <w:numPr>
          <w:ilvl w:val="0"/>
          <w:numId w:val="4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Разделение по агрегатам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 каждый агрегат имеет свой файл событий (BookingEvents.cs, OrderEvents.cs)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7F7AA0A0">
      <w:pPr>
        <w:pStyle w:val="932"/>
        <w:numPr>
          <w:ilvl w:val="0"/>
          <w:numId w:val="4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Двунаправленное сопоставление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 Events ↔ Commands в одном файле для понимания полного жизненного цикла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27524D0B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Типовая структура каталога в enterprise-проектах: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Style w:val="74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 w14:paraId="1EBB40EE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domain-events/</w:t>
            </w:r>
            <w:r/>
          </w:p>
          <w:p w14:paraId="0F54209C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├── v1/                           # Версия API событий</w:t>
            </w:r>
            <w:r/>
          </w:p>
          <w:p w14:paraId="5D365B99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│   ├── booking/                  # Bounded Context</w:t>
            </w:r>
            <w:r/>
          </w:p>
          <w:p w14:paraId="6B3DD372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│   │   ├── BookingEvents.cs      # RoomBooked, BookingConfirmed</w:t>
            </w:r>
            <w:r/>
          </w:p>
          <w:p w14:paraId="4D002EF6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│   │   └── BookingCommands.cs    # BookRoom, CancelBooking</w:t>
            </w:r>
            <w:r/>
          </w:p>
          <w:p w14:paraId="038E754B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│   ├── payments/</w:t>
            </w:r>
            <w:r/>
          </w:p>
          <w:p w14:paraId="42E92A18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│   │   ├── PaymentEvents.cs      # PaymentReceived, RefundIssued</w:t>
            </w:r>
            <w:r/>
          </w:p>
          <w:p w14:paraId="1D356BB8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│   │   └── PaymentCommands.cs</w:t>
            </w:r>
            <w:r/>
          </w:p>
          <w:p w14:paraId="23E6DBF8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│   └── orders/</w:t>
            </w:r>
            <w:r/>
          </w:p>
          <w:p w14:paraId="46E11DF0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│       └── OrderEvents.cs</w:t>
            </w:r>
            <w:r/>
          </w:p>
          <w:p w14:paraId="1D17B6F0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├── contracts/                    # OpenAPI/AsyncAPI спецификации</w:t>
            </w:r>
            <w:r/>
          </w:p>
          <w:p w14:paraId="1F4F7F89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│   └── booking-v1.yaml</w:t>
            </w:r>
            <w:r/>
          </w:p>
          <w:p w14:paraId="149E802D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└── projections/                  # Read Models</w:t>
            </w:r>
            <w:r/>
          </w:p>
          <w:p w14:paraId="5FFE7937">
            <w:pPr>
              <w:pBdr/>
              <w:spacing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    └── BookingProjection.cs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</w:tbl>
    <w:p w14:paraId="64912B0C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18656624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Функции каталогов событий: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49432B90">
      <w:pPr>
        <w:pStyle w:val="932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Документация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 Автоматическая генерация спецификаций API из аннотаций</w:t>
      </w:r>
      <w:r/>
    </w:p>
    <w:p w14:paraId="0EBA403F">
      <w:pPr>
        <w:pStyle w:val="932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Валидация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 Проверка совместимости версий (breaking changes)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08DF9B3E">
      <w:pPr>
        <w:pStyle w:val="932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Генерация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кода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 TypeScript/Go/Java клиентские SDK из схем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32258DA4">
      <w:pPr>
        <w:pStyle w:val="932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Тестирование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 Контрактные тесты между командами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69052FDA">
      <w:pPr>
        <w:pStyle w:val="932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Мониторинг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 Метрики по частоте событий и ошибкам десериализации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76DF6BE7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Стандарты управления каталогами: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1E2896CF">
      <w:pPr>
        <w:pStyle w:val="932"/>
        <w:numPr>
          <w:ilvl w:val="0"/>
          <w:numId w:val="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Event Storming сессии для обнаружения событий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00599BD3">
      <w:pPr>
        <w:pStyle w:val="932"/>
        <w:numPr>
          <w:ilvl w:val="0"/>
          <w:numId w:val="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Schema Registry (Confluent Schema Registry, Apicurio) для runtime валидации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1F7E6118">
      <w:pPr>
        <w:pStyle w:val="932"/>
        <w:numPr>
          <w:ilvl w:val="0"/>
          <w:numId w:val="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GitOps подход: события как код в Git с CI/CD пайплайнами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 w14:paraId="3642EA6F">
      <w:pPr>
        <w:pStyle w:val="932"/>
        <w:numPr>
          <w:ilvl w:val="0"/>
          <w:numId w:val="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Backward compatibility: новые поля в payload с default значениями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19E71666">
      <w:pPr>
        <w:pStyle w:val="932"/>
        <w:numPr>
          <w:ilvl w:val="0"/>
          <w:numId w:val="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4BED74F7">
      <w:pPr>
        <w:pBdr/>
        <w:spacing w:line="360" w:lineRule="auto"/>
        <w:ind w:right="0" w:firstLine="709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1.4. Типизация и классификация событий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8"/>
          <w:szCs w:val="28"/>
        </w:rPr>
      </w:r>
    </w:p>
    <w:p w14:paraId="06420FB2">
      <w:p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Т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ипизация событий в DDD определяется их семантической ролью в жизненном цикле доменной модели и бизнес-процессов. События классифицируются по степени значимости и влиянию на другие агрегаты, что напрямую определяет их приоритет в обработке и распространении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по системе.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066B32F5">
      <w:p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Основные классы событий по жизненному циклу: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66585748">
      <w:pPr>
        <w:pStyle w:val="932"/>
        <w:numPr>
          <w:ilvl w:val="0"/>
          <w:numId w:val="8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События создания (Creation Events) фиксируют появление новой бизнес-сущности и инициируют создание связанных агрегатов. Они обладают наивысшей степенью важности, поскольку определяют начало жизненного пути объекта и требуют синхронизации с другими bounde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d contexts.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44E8181C">
      <w:pPr>
        <w:pStyle w:val="932"/>
        <w:numPr>
          <w:ilvl w:val="0"/>
          <w:numId w:val="8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События изменения состояния (State Change Events) отражают переход агрегата между различными стадиями жизненного цикла. Данные события наиболее многочисленны и требуют тщательного проектирования для предотвращения дублирования логики и обеспечения консис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тентности.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50FBA4B6">
      <w:pPr>
        <w:pStyle w:val="932"/>
        <w:numPr>
          <w:ilvl w:val="0"/>
          <w:numId w:val="8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События завершения/архивации (Termination Events) сигнализируют об окончании жизненного пути бизнес-сущности. Они запускают процессы очистки данных, аналитику и архивацию, а также могут инициировать каскадные удаления связанных объектов.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0F746D72">
      <w:pPr>
        <w:pStyle w:val="932"/>
        <w:numPr>
          <w:ilvl w:val="0"/>
          <w:numId w:val="8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События корреляции (Correlation Events) обеспечивают связь между различными агрегатами и контекстами, не изменяя их состояния напрямую. Используются для оркестрацию сложных бизнес-процессов и синхронизацию данных.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3A3DD2A4">
      <w:p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Критерии классификации событий: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0FE3F730">
      <w:pPr>
        <w:pStyle w:val="932"/>
        <w:numPr>
          <w:ilvl w:val="0"/>
          <w:numId w:val="7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Интеграционные события -  публикуются за пределы bounded context для уведомления внешних систем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002C92A0">
      <w:pPr>
        <w:pStyle w:val="932"/>
        <w:numPr>
          <w:ilvl w:val="0"/>
          <w:numId w:val="7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Локальные события -  обрабатываются внутри контекста без внешней публикации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0F2599A0">
      <w:pPr>
        <w:pStyle w:val="932"/>
        <w:numPr>
          <w:ilvl w:val="0"/>
          <w:numId w:val="7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Синхронные события -  требуют немедленного реагирования (event-carried state transfer)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75FBA0FD">
      <w:pPr>
        <w:pStyle w:val="932"/>
        <w:numPr>
          <w:ilvl w:val="0"/>
          <w:numId w:val="7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Асинхронные события -  допускают отложенную обработку с гарантией доставки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01EFE847">
      <w:p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А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грегация событий в потоки (Event Streams) организуется по принципам логической группировки и временной последовательности. Каждый поток представляет собой упорядоченную последовательность событий одного агрегата или бизнес-процесса, обеспечивая полную восп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роизводимость состояния через Event Sourcing.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7BF8368C">
      <w:p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Уровни гранулярности событий: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0E045401">
      <w:pPr>
        <w:pStyle w:val="932"/>
        <w:numPr>
          <w:ilvl w:val="0"/>
          <w:numId w:val="9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Микроуровень -  атомарные изменения отдельных атрибутов агрегата (изменение статуса, обновление адреса)</w:t>
      </w:r>
      <w:r>
        <w:rPr>
          <w:sz w:val="24"/>
          <w:szCs w:val="24"/>
        </w:rPr>
      </w:r>
      <w:r>
        <w:rPr>
          <w:sz w:val="28"/>
          <w:szCs w:val="28"/>
        </w:rPr>
      </w:r>
    </w:p>
    <w:p w14:paraId="59DC2845">
      <w:pPr>
        <w:pStyle w:val="932"/>
        <w:numPr>
          <w:ilvl w:val="0"/>
          <w:numId w:val="9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Мезоуровень -  значимые переходы между стадиями жизненного цикла (подтверждение заказа, отгрузка)</w:t>
      </w:r>
      <w:r>
        <w:rPr>
          <w:sz w:val="24"/>
          <w:szCs w:val="24"/>
        </w:rPr>
      </w:r>
      <w:r>
        <w:rPr>
          <w:sz w:val="28"/>
          <w:szCs w:val="28"/>
        </w:rPr>
      </w:r>
    </w:p>
    <w:p w14:paraId="494B470B">
      <w:pPr>
        <w:pStyle w:val="932"/>
        <w:numPr>
          <w:ilvl w:val="0"/>
          <w:numId w:val="9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Макроуровень -  завершение бизнес-процесса (успешная доставка, возврат средств)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039E0050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none"/>
        </w:rPr>
      </w:r>
    </w:p>
    <w:p w14:paraId="60C74DF2">
      <w:pPr>
        <w:pStyle w:val="869"/>
        <w:pBdr/>
        <w:spacing/>
        <w:ind w:right="0" w:firstLine="709" w:left="0"/>
        <w:rPr>
          <w:b/>
          <w:bCs/>
          <w:i w:val="0"/>
          <w:color w:val="000000" w:themeColor="text1"/>
          <w:sz w:val="36"/>
          <w:szCs w:val="36"/>
        </w:rPr>
      </w:pPr>
      <w:r/>
      <w:bookmarkStart w:id="3" w:name="_Toc3"/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6"/>
          <w:szCs w:val="36"/>
          <w:highlight w:val="none"/>
        </w:rPr>
        <w:t xml:space="preserve">2. Спецификации API для REST/GraphQL</w:t>
      </w:r>
      <w:r>
        <w:rPr>
          <w:b/>
          <w:bCs/>
          <w:i w:val="0"/>
          <w:iCs w:val="0"/>
          <w:color w:val="000000" w:themeColor="text1"/>
          <w:sz w:val="32"/>
          <w:szCs w:val="32"/>
        </w:rPr>
      </w:r>
      <w:bookmarkEnd w:id="3"/>
      <w:r/>
      <w:r>
        <w:rPr>
          <w:b/>
          <w:bCs/>
          <w:i w:val="0"/>
          <w:color w:val="000000" w:themeColor="text1"/>
          <w:sz w:val="36"/>
          <w:szCs w:val="36"/>
        </w:rPr>
      </w:r>
    </w:p>
    <w:p w14:paraId="31848C49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2.1. Обзор спецификаций OpenAPI и AsyncAPI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691E929B">
      <w:pPr>
        <w:pBdr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highlight w:val="none"/>
        </w:rPr>
        <w:t xml:space="preserve">OpenAPI Specification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(OAS) представляет собой индустриальный стандарт для описания RESTful API, обеспечивающий полную спецификацию всех эндпоинтов, методов, параметров, схем данных и ответов. OpenAPI возник как эволюция Swagger 2.0 и в настоящее время нахо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ди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тся на версии 3.1.0, поддерживая современные возможности JSON Schema 2020-12 и расширяя возможности для GraphQL через плагины. Основная цель OpenAPI -  создание машинно-читаемого контракта API, который используется для генерации клиентского и серверного ко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да, документации, тестирования и мониторинга.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b w:val="0"/>
          <w:bCs w:val="0"/>
        </w:rPr>
      </w:r>
    </w:p>
    <w:p w14:paraId="660359D1">
      <w:pPr>
        <w:pBdr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highlight w:val="none"/>
        </w:rPr>
        <w:t xml:space="preserve">AsyncAPI Specification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, в отличие от OpenAPI, предназначена для описания асинхронных API и событийно-ориентированных архитектур, работающих по протоколам обмена сообщениями (Kafka, RabbitMQ, MQTT, NATS, AMQP). AsyncAPI решает проблему отсутствия стандарта д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л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я event-driven систем, предоставляя аналогичную OpenAPI структуру, но ориентированную на каналы (channels), операции публикации/подписки (publish/subscribe) и схемы сообщений вместо HTTP-эндпоинтов. Версия 2.6.0 AsyncAPI поддерживает все современные брокер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ы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сообщений и предоставляет мощные инструменты для генерации клиентских SDK, конфигураций коннекторов и документации. Ключевое различие заключается в парадигме взаимодействия: OpenAPI описывает request-response циклы, где клиент инициирует запрос, а AsyncAP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I описывает publish-subscribe модель, где производители публикуют события, а потребители подписываются независимо.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b w:val="0"/>
          <w:bCs w:val="0"/>
        </w:rPr>
      </w:r>
    </w:p>
    <w:p w14:paraId="5CDBD547">
      <w:pPr>
        <w:pBdr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С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пецификации имеют схожую YAML/JSON структуру, что упрощает миграцию и совместное использование инструментов экосистемы. OpenAPI фокусируется на paths с HTTP-методами и статус-кодами ответов, тогда как AsyncAPI использует channels с операциями publish и sub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s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cribe, где каждый канал соответствует топику или очереди брокера сообщений. Обе спецификации активно поддерживают components для переиспользования схем данных через $ref, что обеспечивает DRY-принцип и централизованное управление контрактами. OpenAPI ориен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т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ирована на синхронные взаимодействия с четко определенными контрактами запрос/ответ, в то время как AsyncAPI предназначена для асинхронных систем с гарантиями доставки "at-least-once" или "exactly-once", где события представляют неизменяемые факты бизнес-с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остояния.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b w:val="0"/>
          <w:bCs w:val="0"/>
        </w:rPr>
      </w:r>
    </w:p>
    <w:p w14:paraId="6DFAD4FB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оддерживаемые протоколы расширяют возможности обеих спецификаций. OpenAPI в основном работает с HTTP/1.1, HTTP/2, HTTP/3 и WebSocket (через extensions), обеспечивая строгую типизацию request/response пар. AsyncAPI охватывает широкий спектр протоколов обмен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а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сообщениями: Kafka (с поддержкой Schema Registry), RabbitMQ/AMQP, MQTT (IoT), NATS, Redis Streams, а также WebSocket для real-time коммуникаций. Это позволяет описывать гибридные архитектуры, где REST API (OpenAPI) интегрируется с событийными потоками (As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yncAPI) через API Gateway или service mesh.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6FB6E961">
      <w:pPr>
        <w:pBdr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2.2. Правила сопоставления событий с CRUD-операциями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D63768A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А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лгоритм трансформации событий в REST эндпоинты основан на анализе семантики события и его позиции в жизненном цикле агрегата. Генератор API применяет матрицу правил, где тип события определяет HTTP-метод, путь и структуру запроса/ответа. Основная логика тр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ансформации использует паттерны именования событий и их payload для автоматического построения контрактов.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tbl>
      <w:tblPr>
        <w:tblStyle w:val="743"/>
        <w:tblInd w:w="0" w:type="dxa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>
          <w:trHeight w:val="966"/>
        </w:trPr>
        <w:tc>
          <w:tcPr>
            <w:tcBorders/>
            <w:tcW w:w="1871" w:type="dxa"/>
            <w:vAlign w:val="center"/>
            <w:textDirection w:val="lrTb"/>
            <w:noWrap w:val="false"/>
          </w:tcPr>
          <w:p w14:paraId="7C559403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Класс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события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1FF0F881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Примеры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365FEAAB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HTTP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метод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39275B21">
            <w:pPr>
              <w:pBdr/>
              <w:spacing w:line="360" w:lineRule="auto"/>
              <w:ind w:right="0" w:firstLine="0" w:left="0"/>
              <w:jc w:val="left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Эндпоинт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3D623964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Payload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ru-RU"/>
              </w:rPr>
              <w:t xml:space="preserve">источника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>
          <w:trHeight w:val="966"/>
        </w:trPr>
        <w:tc>
          <w:tcPr>
            <w:tcBorders/>
            <w:tcW w:w="1871" w:type="dxa"/>
            <w:vAlign w:val="center"/>
            <w:textDirection w:val="lrTb"/>
            <w:noWrap w:val="false"/>
          </w:tcPr>
          <w:p w14:paraId="4559ED65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Creation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0FBEDF9A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UserCreated, OrderPlaced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2ADF1DC0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POST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3A73E73E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/user, /orders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3ADA5254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Command payload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>
          <w:trHeight w:val="966"/>
        </w:trPr>
        <w:tc>
          <w:tcPr>
            <w:tcBorders/>
            <w:tcW w:w="1871" w:type="dxa"/>
            <w:vAlign w:val="center"/>
            <w:textDirection w:val="lrTb"/>
            <w:noWrap w:val="false"/>
          </w:tcPr>
          <w:p w14:paraId="3F23EC7F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State Change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69750ED9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OrderShipped, UserInfoUpdated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35E72EC7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PATCH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75BD6052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/{id}/status, /{id}/role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1378A2A6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Event payload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>
          <w:trHeight w:val="966"/>
        </w:trPr>
        <w:tc>
          <w:tcPr>
            <w:tcBorders/>
            <w:tcW w:w="1871" w:type="dxa"/>
            <w:vAlign w:val="center"/>
            <w:textDirection w:val="lrTb"/>
            <w:noWrap w:val="false"/>
          </w:tcPr>
          <w:p w14:paraId="43A4EB4A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Read / Query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1F6B4E9F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OrderDelivered, UserProfileViewed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377972D7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GET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0DCF8B4B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/{id}, /{id}/status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117573DB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Event payload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  <w:tr>
        <w:trPr>
          <w:trHeight w:val="966"/>
        </w:trPr>
        <w:tc>
          <w:tcPr>
            <w:tcBorders/>
            <w:tcW w:w="1871" w:type="dxa"/>
            <w:vAlign w:val="center"/>
            <w:textDirection w:val="lrTb"/>
            <w:noWrap w:val="false"/>
          </w:tcPr>
          <w:p w14:paraId="485D3D23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Termination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0FE9A627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OrderCancelled, UserArchived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2767B4C1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DELETE / PATCH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4EDE75CC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/{id}/cancel, /{id}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 w14:paraId="217CEAEB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Command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payload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</w:tbl>
    <w:p w14:paraId="237AE06D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374D5848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Правила трансформации: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489F9C5A">
      <w:pPr>
        <w:pStyle w:val="932"/>
        <w:numPr>
          <w:ilvl w:val="0"/>
          <w:numId w:val="11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Именование эндпоинтов: EventType → /resource (мн.ч.), где OrderPlaced → /orders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5E5AA483">
      <w:pPr>
        <w:pStyle w:val="932"/>
        <w:numPr>
          <w:ilvl w:val="0"/>
          <w:numId w:val="11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HTTP-метод по семантике: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4E86FCFC">
      <w:pPr>
        <w:pStyle w:val="932"/>
        <w:numPr>
          <w:ilvl w:val="0"/>
          <w:numId w:val="12"/>
        </w:numPr>
        <w:pBdr/>
        <w:spacing w:line="360" w:lineRule="auto"/>
        <w:ind w:right="0" w:firstLine="992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Created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/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Placed → POST (создание)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035BE56F">
      <w:pPr>
        <w:pStyle w:val="932"/>
        <w:numPr>
          <w:ilvl w:val="0"/>
          <w:numId w:val="12"/>
        </w:numPr>
        <w:pBdr/>
        <w:spacing w:line="360" w:lineRule="auto"/>
        <w:ind w:right="0" w:firstLine="992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Updated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/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Changed → PATCH (частичное обновление)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77CE0608">
      <w:pPr>
        <w:pStyle w:val="932"/>
        <w:numPr>
          <w:ilvl w:val="0"/>
          <w:numId w:val="12"/>
        </w:numPr>
        <w:pBdr/>
        <w:spacing w:line="360" w:lineRule="auto"/>
        <w:ind w:right="0" w:firstLine="992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Deleted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/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Cancelled → DELETE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/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PATCH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/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cancel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7668647F">
      <w:pPr>
        <w:pStyle w:val="932"/>
        <w:numPr>
          <w:ilvl w:val="0"/>
          <w:numId w:val="11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Path параметры: aggregateId из события → /{id} в пути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7B55C536">
      <w:pPr>
        <w:pStyle w:val="932"/>
        <w:numPr>
          <w:ilvl w:val="0"/>
          <w:numId w:val="11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Query параметры: фильтры из metadata (status, dateFrom, tenantId)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7C8A9092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Обработка корреляционных событий требует специальной логики, поскольку они не изменяют состояние напрямую, а координируют процессы между агрегатами. Такие события преобразуются в композитные эндпоинты или workflow API: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tbl>
      <w:tblPr>
        <w:tblStyle w:val="74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 w14:paraId="36BEADD9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Correlation Event: OrderPaymentCompleted</w:t>
            </w:r>
            <w:r/>
          </w:p>
          <w:p w14:paraId="51334A1D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→ POST /orders/{orderId}/complete-payment</w:t>
            </w:r>
            <w:r/>
          </w:p>
          <w:p w14:paraId="692A1626">
            <w:pPr>
              <w:pBdr/>
              <w:spacing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→ PATCH /payments/{paymentId}/link-order?orderId=...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</w:tbl>
    <w:p w14:paraId="58FB0DAB">
      <w:pPr>
        <w:pBdr/>
        <w:shd w:val="nil" w:color="000000"/>
        <w:spacing/>
        <w:ind w:right="0" w:firstLine="709" w:left="0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07FCB5B3">
      <w:pPr>
        <w:pBdr/>
        <w:shd w:val="nil" w:color="000000"/>
        <w:spacing/>
        <w:ind w:right="0" w:firstLine="709" w:left="0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Сложные случаи трансформации: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787514A0">
      <w:pPr>
        <w:pStyle w:val="932"/>
        <w:numPr>
          <w:ilvl w:val="0"/>
          <w:numId w:val="13"/>
        </w:numPr>
        <w:pBdr/>
        <w:shd w:val="nil" w:color="000000"/>
        <w:spacing/>
        <w:ind w:right="0" w:firstLine="709" w:left="0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События с несколькими агрегатами → вложенные ресурсы: PaymentForOrderCompleted → /orders/{orderId}/payments/{paymentId}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 w14:paraId="3F9C7617">
      <w:pPr>
        <w:pStyle w:val="932"/>
        <w:numPr>
          <w:ilvl w:val="0"/>
          <w:numId w:val="13"/>
        </w:numPr>
        <w:pBdr/>
        <w:shd w:val="nil" w:color="000000"/>
        <w:spacing/>
        <w:ind w:right="0" w:firstLine="709" w:left="0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События агрегации → bulk операции: BatchOrdersShipped → POST /orders/ship-multiple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 w14:paraId="110AC133">
      <w:pPr>
        <w:pStyle w:val="932"/>
        <w:numPr>
          <w:ilvl w:val="0"/>
          <w:numId w:val="13"/>
        </w:numPr>
        <w:pBdr/>
        <w:shd w:val="nil" w:color="000000"/>
        <w:spacing/>
        <w:ind w:right="0" w:firstLine="709" w:left="0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События отмены → idempotent PATCH: OrderCancelled → PATCH /orders/{id} {status: "cancelled"}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 w14:paraId="1B0A1DCD">
      <w:pPr>
        <w:pBdr/>
        <w:shd w:val="nil" w:color="auto"/>
        <w:spacing/>
        <w:ind w:right="0" w:firstLine="709" w:left="0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Логика определения ресурса из события: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697D25AD">
      <w:pPr>
        <w:pStyle w:val="932"/>
        <w:numPr>
          <w:ilvl w:val="0"/>
          <w:numId w:val="14"/>
        </w:numPr>
        <w:pBdr/>
        <w:shd w:val="nil" w:color="000000"/>
        <w:spacing/>
        <w:ind w:right="0" w:firstLine="709" w:left="0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Извлечь AggregateType из metadata (Order, User, Payment)</w:t>
      </w:r>
      <w:r/>
    </w:p>
    <w:p w14:paraId="7E4886D9">
      <w:pPr>
        <w:pStyle w:val="932"/>
        <w:numPr>
          <w:ilvl w:val="0"/>
          <w:numId w:val="14"/>
        </w:numPr>
        <w:pBdr/>
        <w:shd w:val="nil" w:color="000000"/>
        <w:spacing/>
        <w:ind w:right="0" w:firstLine="709" w:left="0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Преобразовать в REST ресурс (orders, users, payments) </w:t>
      </w:r>
      <w:r/>
    </w:p>
    <w:p w14:paraId="267B4762">
      <w:pPr>
        <w:pStyle w:val="932"/>
        <w:numPr>
          <w:ilvl w:val="0"/>
          <w:numId w:val="14"/>
        </w:numPr>
        <w:pBdr/>
        <w:shd w:val="nil" w:color="000000"/>
        <w:spacing/>
        <w:ind w:right="0" w:firstLine="709" w:left="0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Добавить глагол действия по семантике (create → POST, update → PATCH)</w:t>
      </w:r>
      <w:r/>
    </w:p>
    <w:p w14:paraId="7BF831CE">
      <w:pPr>
        <w:pStyle w:val="932"/>
        <w:numPr>
          <w:ilvl w:val="0"/>
          <w:numId w:val="14"/>
        </w:numPr>
        <w:pBdr/>
        <w:shd w:val="nil" w:color="000000"/>
        <w:spacing/>
        <w:ind w:right="0" w:firstLine="709" w:left="0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Сгенерировать request/response схемы из event payload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4733A4A7">
      <w:pPr>
        <w:pBdr/>
        <w:shd w:val="nil" w:color="000000"/>
        <w:spacing/>
        <w:ind w:right="0" w:firstLine="0" w:left="0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54124807">
      <w:pPr>
        <w:pStyle w:val="932"/>
        <w:pBdr/>
        <w:shd w:val="nil" w:color="000000"/>
        <w:spacing/>
        <w:ind w:right="0" w:firstLine="709" w:left="0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2.3. Типовые шаблоны эндпоинтов для доменных событий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53AF1ADD">
      <w:pPr>
        <w:pStyle w:val="932"/>
        <w:pBdr/>
        <w:shd w:val="nil" w:color="000000"/>
        <w:spacing/>
        <w:ind w:right="0" w:firstLine="709" w:left="0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43D28162">
      <w:pPr>
        <w:pStyle w:val="932"/>
        <w:pBdr/>
        <w:shd w:val="nil" w:color="000000"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Стандарты именования REST эндпоинтов в контексте DDD основаны на принципах ресурс-ориентированного дизайна, где каждый агрегат представлен как REST-ресурс во множественном числе. Основной паттерн /aggregates для коллекций и /{aggregateId} для экземпляров,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с дополнительными вложенными ресурсами для связанных сущностей. Глаголы действий избегаются в путях, заменяясь семантикой HTTP-методов, однако для доменных событий с богатой бизнес-логикой допускаются action-oriented эндпоинты вида /{aggregate}/{action}. Т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акая структура обеспечивает интуитивность и соответствие принципам REST при сохранении выразительности DDD-модели.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314AE64B">
      <w:pPr>
        <w:pStyle w:val="932"/>
        <w:pBdr/>
        <w:shd w:val="nil" w:color="000000"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321EC6A1">
      <w:pPr>
        <w:pStyle w:val="932"/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Вложенные ресурсы используются для моделирования отношений между агрегатами, где родительский агрегат выступает в роли контейнера. Этот подход отражает агрегатную границу и предотвращает прямой доступ к дочерним сущностям вне контекста родителя.</w:t>
      </w:r>
      <w:r/>
    </w:p>
    <w:p w14:paraId="43F8B381">
      <w:pPr>
        <w:pStyle w:val="932"/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 w14:paraId="14FF32CA">
      <w:pPr>
        <w:pStyle w:val="932"/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Типовые паттерны вложенных ресурсов: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 w14:paraId="6BF21160">
      <w:pPr>
        <w:pStyle w:val="932"/>
        <w:numPr>
          <w:ilvl w:val="0"/>
          <w:numId w:val="15"/>
        </w:numPr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/orders/{orderId}/payments -  коллекция платежей заказа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 w14:paraId="5616E02E">
      <w:pPr>
        <w:pStyle w:val="932"/>
        <w:numPr>
          <w:ilvl w:val="0"/>
          <w:numId w:val="15"/>
        </w:numPr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/orders/{orderId}/items/{itemId} -  конкретная позиция заказа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 w14:paraId="4A7683F9">
      <w:pPr>
        <w:pStyle w:val="932"/>
        <w:numPr>
          <w:ilvl w:val="0"/>
          <w:numId w:val="15"/>
        </w:numPr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/users/{userId}/orders -  заказы пользователя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 w14:paraId="05F04276">
      <w:pPr>
        <w:pStyle w:val="932"/>
        <w:numPr>
          <w:ilvl w:val="0"/>
          <w:numId w:val="15"/>
        </w:numPr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/{parentId}/{childType}/{childId}/actions -  действия над вложенными ресурсами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 w14:paraId="46E07453">
      <w:pPr>
        <w:pStyle w:val="932"/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Пагинация реализуется через query-параметры ?page=1&amp;limit=20, фильтрация -  ?status=shipped&amp;dateFrom=2025-01-01, сортировка -  ?sort=-createdAt,totalAmount.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 w14:paraId="0231B3D0">
      <w:pPr>
        <w:pStyle w:val="932"/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 w14:paraId="77859966">
      <w:pPr>
        <w:pStyle w:val="932"/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GraphQL типы расширяют возможности событийной модели, предоставляя декларативный интерфейс для запросов. Query типы соответствуют операциям чтения агрегатов и проекций (order(id: ID!): Order, Mutation -  командам измене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ния состояния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, а Subscription -  потокам событий в реальном времени. GraphQL схемы генерируются из событийного 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каталога путем трансформации payload в типы Input/Output, а enum-значения извлекаются из метаданных событий.</w:t>
      </w:r>
      <w:r/>
    </w:p>
    <w:p w14:paraId="5B804C5C">
      <w:pPr>
        <w:pStyle w:val="932"/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 w14:paraId="769421B5">
      <w:pPr>
        <w:pStyle w:val="932"/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Се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мантическое обогащение эндпоинтов достигается через HTTP headers и media types. Версионирование API реализуется через Accept: application/vnd.api.v1+json, а tenant isolation -  через X-Tenant-Id заголовок. Response схемы включают HATEOAS-ссылки (_links: {s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elf: "/orders/123", cancel: "/orders/123/cancel"}), обогащая клиентский опыт навигацией по доменной модели. Обработка ошибок унифицирована через Problem Details RFC 7807 с полями type, title, status, detail, businessViolation для бизнес-ошибок.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 w14:paraId="743B08A7">
      <w:pPr>
        <w:pBdr/>
        <w:shd w:val="nil" w:color="000000"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Гибридные шаблоны сочетают REST и GraphQL в единой спецификации, где REST обеспечивает стабильный контракт для внешних клиентов, а GraphQL 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  <w:lang w:val="en-US"/>
        </w:rPr>
        <w:t xml:space="preserve">-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 гибкость для внутренних систем. Правила генерации определяют приоритет: агрегаты с &gt;5 событиями получают GraphQL тип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ы, простые справочники -  только REST. Фильтрация и сортировка унифицированы через общие query-параметры, поддерживаемые обеими спецификациями.</w:t>
      </w:r>
      <w:r>
        <w:br/>
      </w:r>
      <w:r>
        <w:rPr>
          <w:b w:val="0"/>
          <w:bCs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2.4. Структура контрактов и схем сообщений</w:t>
      </w:r>
      <w:r>
        <w:rPr>
          <w:rFonts w:ascii="Times New Roman" w:hAnsi="Times New Roman" w:cs="Times New Roman"/>
          <w:sz w:val="28"/>
          <w:szCs w:val="28"/>
        </w:rPr>
      </w:r>
    </w:p>
    <w:p w14:paraId="51AEE334">
      <w:pPr>
        <w:pBdr/>
        <w:shd w:val="nil" w:color="000000"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пределение request/response схем из payload событий осуществляется путем автоматического извлечения полей и типов данных из событийного каталога. Генератор анализирует структуру payload события, преобразует JSON Schema типы (string → string, number → numbe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object → object) и генерирует соответствующие OpenAPI components/schemas. Request схемы формируются из команд (императивные данные для изменения состояния), а response схемы -  из событий (факты о состоянии после изменения). Этот подход обеспечивает event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-carried state transfer, где событие содержит полную информацию о текущем состоянии агрегата, исключая необходимость дополнительных запросов.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36AAF56A">
      <w:pPr>
        <w:pBdr/>
        <w:shd w:val="nil" w:color="000000"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аследование схем реализуется через allOf конструкцию OpenAPI, где базовые схемы (BaseEvent, BaseCommand) расширяются специфическими полями агрегата. Например, OrderPlacedEvent наследует eventId, timestamp, aggregateId из BaseEvent и добавляет orderItems, 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talAmount. Полиморфизм поддерживается через oneOf/anyOf для событий одного агрегата с различными payload (OrderEvent: oneOf: [OrderPlacedEvent, OrderShippedEvent, OrderCancelledEvent]). Такая структура позволяет клиентам десериализовать события по eventTyp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 без предварительного знания точного типа.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C4A1404">
      <w:pPr>
        <w:pBdr/>
        <w:shd w:val="nil" w:color="000000"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ерсионирование API критически важно для событийных систем с долгоживущими агрегатами. OpenAPI использует media type versioning (Accept: application/vnd.acme.order.v2+json), где каждая версия представлена отдельной схемой с обратной совместимостью. Path ver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oning (/v2/orders) применяется для breaking changes, а header versioning -  для non-breaking добавлений полей. Генератор автоматически создает миграционные схемы (OrderV1Payload, OrderV2Payload) с deprecated: true для устаревших версий и required/optional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разметкой для новых полей.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0F43092">
      <w:pPr>
        <w:pBdr/>
        <w:shd w:val="nil" w:color="000000"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омпозиция схем позволяет моделировать сложные отношения между агрегатами через $ref ссылки и allOf/oneOf. Схема заказа может включать PaymentSummary (ссылка на платежный агрегат), ShippingInfo (ссылка на логистику) и CustomerProfile (ссылка на профиль). Ге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нератор анализирует correlationId и aggregateType из метаданных для построения графа зависимостей и создания связанных схем, минимизируя дублирование и обеспечивая консистентность.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0ED419">
      <w:pPr>
        <w:pBdr/>
        <w:shd w:val="nil" w:color="000000"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емантическая аннотация схем обогащает контракты бизнес-контекстом: examples, description, enum значения из доменной модели, pattern для форматов (UUID, ISO dates), minimum/maximum для числовых диапазонов. Безопасность обеспечивается через securitySchemes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JWT Bearer, API Key) и readOnly/writeOnly свойства полей. Response схемы включают discriminator для полиморфизма и default значения для необязательных полей.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EEBF43E">
      <w:pPr>
        <w:pBdr/>
        <w:shd w:val="nil" w:color="000000"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2.5. Валидация и линтинг спецификаций API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FFB18F7">
      <w:pPr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алидация спецификаций является финальным этапом генерации API, обеспечивающим соответствие сгенерированных контрактов индустриальным стандартам OpenAPI 3.1 и бизнес-требованиям DDD. Генератор применяет многоуровневую проверку: синтаксическую (JSON/YAML sch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ema), семантическую (покрытие CRUD-операций) и архитектурную (консистентность событийной модели). Основные инструменты -  Spectral (OpenAPI лinter с 200+ правилами), vale-go (пользовательские правила стиля) и oapi-codegen (валидация Go-генерируемого кода).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1B3B4B6A">
      <w:pPr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равила консистентности для событийных API проверяют полное покрытие жизненного цикла агрегата: наличие операций создания (POST), чтения (GET), изменения (PATCH/PUT) и удаления (DELETE) для каждого ресурса. Генератор выявляет "мертвые" эндпоинты (без respon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 схем), orphaned схемы (неиспользуемые components) и несбалансированные ресурсы (агрегат без событий завершения). Spectral правила проверяют обязательные поля (description, examples), корректность $ref, отсутствие циклических ссылок и соответствие HTTP-ме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тодов бизнес-семантике.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6773351C">
      <w:pPr>
        <w:pBdr/>
        <w:shd w:val="nil" w:color="000000"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втоматическая проверка покрытия CRUD анализирует матрицу "события → операции" и генерирует отчет о completeness: 100% агрегатов должны иметь минимум 4 базовые операции + пагинацию. Для GraphQL проверяется наличие Query/Mutation пар для каждого агрегата и 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ипизация аргументов/возвращаемых значений. Архитектурная валидация обнаруживает нарушения bounded context границ (чрезмерная вложенность &gt;3 уровней) и рекомендует рефакторинг эндпоинтов.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Линтинг стиля и безопасности включает проверку naming conventions (kebab-case пути, PascalCase схемы), security coverage (минимум 1 scheme на публичные эндпоинты), rate limiting аннотации и CORS headers.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3D77D32C">
      <w:pPr>
        <w:pBdr/>
        <w:shd w:val="nil" w:color="000000"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ост-генерационная оптимизация автоматически исправляет типовые проблемы: добавляет missing description, унифицирует enum значения, удаляет unused схемы, оптимизирует порядок полей по весу (required → optional). Финальная спецификация проходит redoc-cli bun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dle для генерации самодокументируемой HTML-документации с покрытием 95%+ бизнес-сценариев.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6A49D68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04DCF886">
      <w:pPr>
        <w:pStyle w:val="869"/>
        <w:pBdr/>
        <w:spacing/>
        <w:ind w:right="0" w:firstLine="709" w:left="0"/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36"/>
          <w:szCs w:val="36"/>
          <w:highlight w:val="none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6"/>
          <w:szCs w:val="36"/>
          <w:highlight w:val="none"/>
        </w:rPr>
        <w:t xml:space="preserve">3. Инструменты генерации и валидации</w:t>
      </w:r>
      <w:r>
        <w:rPr>
          <w:rFonts w:ascii="Times New Roman" w:hAnsi="Times New Roman" w:cs="Times New Roman"/>
          <w:b/>
          <w:bCs/>
          <w:i w:val="0"/>
          <w:color w:val="000000" w:themeColor="text1"/>
          <w:sz w:val="36"/>
          <w:szCs w:val="36"/>
          <w:highlight w:val="none"/>
        </w:rPr>
      </w:r>
      <w:bookmarkEnd w:id="4"/>
      <w:r/>
      <w:r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36"/>
          <w:szCs w:val="36"/>
          <w:highlight w:val="none"/>
        </w:rPr>
      </w:r>
    </w:p>
    <w:p w14:paraId="2731D6CB">
      <w:pPr>
        <w:pBdr/>
        <w:spacing w:line="360" w:lineRule="auto"/>
        <w:ind w:right="0" w:firstLine="709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3.1. Линтеры спецификаций API (Spectral, vale-go)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8"/>
          <w:szCs w:val="28"/>
        </w:rPr>
      </w:r>
    </w:p>
    <w:p w14:paraId="2DC7D783">
      <w:p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highlight w:val="none"/>
        </w:rPr>
        <w:t xml:space="preserve">Spectral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-  индустриальный стандарт линтинга OpenAPI спецификаций, предоставляющий 200+ предопределенных правил валидации и возможность создания пользовательских. Spectral проверяет синтаксическую корректность YAML/JSON, семантическую согласованность ($ref 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ылки, required поля), безопасность (отсутствие wildcard paths) и стиль (naming conventions). Для DDD-консистентности Spectral расширяется пользовательскими правилами: проверка наличия CRUD-операций для каждого агрегата, покрытие response схем событиями, ог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раничение глубины вложенности эндпоинтов.</w:t>
      </w:r>
      <w:r>
        <w:rPr>
          <w:sz w:val="20"/>
          <w:szCs w:val="20"/>
        </w:rPr>
      </w:r>
      <w:r>
        <w:rPr>
          <w:sz w:val="28"/>
          <w:szCs w:val="28"/>
        </w:rPr>
      </w:r>
    </w:p>
    <w:p w14:paraId="09441D7E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 w:val="0"/>
          <w:i w:val="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highlight w:val="none"/>
        </w:rPr>
        <w:t xml:space="preserve">vale-go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дополняет Spectral, фокусируясь на стиле и консистентности OpenAPI документов. Vale использует регулярные выражения и AST-парсинг для проверки naming conventions (kebab-case пути, PascalCase схемы), наличия description для всех operations/schemas, 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орректности HTTP статусов (201 для POST создания, 204 для DELETE). Пользовательские стили создаются в .vale.ini с правилами типа MANDATORY_DESCRIPTION: WARNING: "All operations must have description".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sz w:val="32"/>
          <w:szCs w:val="32"/>
          <w:highlight w:val="none"/>
        </w:rPr>
      </w:r>
    </w:p>
    <w:p w14:paraId="07EF638A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DDD-специфичные правила линтинга: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59F6D65E">
      <w:pPr>
        <w:pStyle w:val="932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crud-coverage: каждый ресурс имеет минимум GET/POST/PATCH/DELETE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5843F13B">
      <w:pPr>
        <w:pStyle w:val="932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event-response-mapping: все response 200/201 ссылаются на события payload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562D44A2">
      <w:pPr>
        <w:pStyle w:val="932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bounded-context-paths: пути не превышают 3 уровня вложенности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7C65BC03">
      <w:pPr>
        <w:pStyle w:val="932"/>
        <w:numPr>
          <w:ilvl w:val="0"/>
          <w:numId w:val="1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no-orphan-schemas: все components/schemas используются в paths</w:t>
      </w:r>
      <w:r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none"/>
        </w:rPr>
      </w:r>
    </w:p>
    <w:p w14:paraId="4FC289CC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 w:val="0"/>
          <w:i w:val="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Конфигурация Spectral для событийных API (ddd-rules.yaml):</w:t>
      </w:r>
      <w:r>
        <w:rPr>
          <w:rFonts w:ascii="Times New Roman" w:hAnsi="Times New Roman" w:cs="Times New Roman"/>
          <w:b w:val="0"/>
          <w:bCs w:val="0"/>
          <w:i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sz w:val="32"/>
          <w:szCs w:val="32"/>
          <w:highlight w:val="none"/>
        </w:rPr>
      </w:r>
    </w:p>
    <w:tbl>
      <w:tblPr>
        <w:tblStyle w:val="74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 w14:paraId="33067289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extends: spectral:oas</w:t>
            </w:r>
            <w:r/>
          </w:p>
          <w:p w14:paraId="5F0C8986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rules:</w:t>
            </w:r>
            <w:r/>
          </w:p>
          <w:p w14:paraId="7843D528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  ddd-crud-coverage:</w:t>
            </w:r>
            <w:r/>
          </w:p>
          <w:p w14:paraId="377A8320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    description: "Each aggregate must have full CRUD"</w:t>
            </w:r>
            <w:r/>
          </w:p>
          <w:p w14:paraId="13321BB8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    severity: error</w:t>
            </w:r>
            <w:r/>
          </w:p>
          <w:p w14:paraId="467389C4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    given: $.paths[*]</w:t>
            </w:r>
            <w:r/>
          </w:p>
          <w:p w14:paraId="351BDBC0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    then:</w:t>
            </w:r>
            <w:r/>
          </w:p>
          <w:p w14:paraId="0F0FD7F8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      - field: hasPostGetPatchDelete</w:t>
            </w:r>
            <w:r/>
          </w:p>
          <w:p w14:paraId="62B65A42">
            <w:pPr>
              <w:pBdr/>
              <w:spacing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        function: truthy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</w:tbl>
    <w:p w14:paraId="090CF48B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2"/>
          <w:szCs w:val="22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2"/>
          <w:szCs w:val="22"/>
          <w:highlight w:val="none"/>
        </w:rPr>
      </w:r>
    </w:p>
    <w:p w14:paraId="0954908E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Метрики качества генерируемых спецификаций: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047FB1FE">
      <w:pPr>
        <w:pStyle w:val="932"/>
        <w:numPr>
          <w:ilvl w:val="0"/>
          <w:numId w:val="17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Spectral score &gt;95/100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07F4E359">
      <w:pPr>
        <w:pStyle w:val="932"/>
        <w:numPr>
          <w:ilvl w:val="0"/>
          <w:numId w:val="17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Zero critical/high severity violations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3E4BE790">
      <w:pPr>
        <w:pStyle w:val="932"/>
        <w:numPr>
          <w:ilvl w:val="0"/>
          <w:numId w:val="17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100% schema coverage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6398EC6B">
      <w:pPr>
        <w:pStyle w:val="932"/>
        <w:numPr>
          <w:ilvl w:val="0"/>
          <w:numId w:val="17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Lint time &lt;500ms для 100+ эндпоинтов</w:t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7FE67D04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3.2. Генераторы кода (swagger-codegen, oapi-codegen)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6D396C91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wagger-codegen представляет собой универсальный генератор кода из OpenAPI спецификаций, поддерживающий более 50 языков программирования и фреймворков, включая JavaScript, Go, Python, Java и TypeScript. Инструмент генерирует клиентские SDK, серверные загото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ки, документацию и тесты на основе настраиваемых mustache-шаблонов. Swagger-codegen обеспечивает хорошую совместимость с OpenAPI 2.0 и 3.x, создавая типизированные модели данных, HTTP-клиенты и middleware валидации, однако имеет ограниченную поддержку слож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ных конструкций OpenAPI 3.1 вроде oneOf/anyOf полиморфизма.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1BE27D87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oa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pi-codegen -  специализированный генератор для Go, оптимизированный для production-микросервисов и высоконагруженных систем. Из OpenAPI 3.1 спецификаций создает runtime-валидаторы с режимами strict и relaxed, server interfaces, клиентские SDK и router hand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ers для Gin, Echo, Fiber. Ключевые преимущества включают zero-allocation парсинг JSON, compile-time типизацию без рефлексии, поддержку полиморфизма и интеграцию с go:generate. Генерируемый код отличается минимализмом и производительностью, что критично для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событийных систем с высокой пропускной способностью.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52EA09E4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penapi-generator-cli продолжает развитие swagger-codegen как официальный проект Linux Foundation, поддерживая 100+ генераторов кода с улучшенной архитектурой на handlebars-шаблонах. Обеспечивает стабильную работу с OpenAPI 3.1, GraphQL и расширенные возмож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ности мультиязычной генерации. Docker-образы упрощают интеграцию в CI/CD пайплайны, позволяя генерировать пакеты для нескольких языков одновременно.</w:t>
      </w:r>
      <w:r/>
    </w:p>
    <w:p w14:paraId="0D24CC6B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оизводительность генераторов существенно различается: oapi-codegen генерирует чистый Go-код за 0.3 секунды (2.5MB для 100 эндпоинтов), swagger-codegen требует 2.1 секунды (15MB), openapi-generator -  1.8 секунды (12MB). Разница обусловлена архитектурой: oa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pi-codegen избегает runtime-рефлексии, генерируя прямые маппинги JSON→struct.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нтеграция в разработочный процесс осуществляется через CLI команды с автоматической регенерацией при изменении спецификаций. oapi-codegen поддерживает go:generate директивы, автоматически обновляя API-код при git commit. CI/CD пайплайны включают генерацию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→ компиляцию → unit-тесты клиентского/серверного кода.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05553DC5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tbl>
      <w:tblPr>
        <w:tblStyle w:val="74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87"/>
        <w:gridCol w:w="1935"/>
        <w:gridCol w:w="1439"/>
        <w:gridCol w:w="1701"/>
        <w:gridCol w:w="1422"/>
        <w:gridCol w:w="1271"/>
      </w:tblGrid>
      <w:tr>
        <w:trPr>
          <w:trHeight w:val="1426"/>
        </w:trPr>
        <w:tc>
          <w:tcPr>
            <w:tcBorders/>
            <w:tcW w:w="1587" w:type="dxa"/>
            <w:vAlign w:val="center"/>
            <w:textDirection w:val="lrTb"/>
            <w:noWrap w:val="false"/>
          </w:tcPr>
          <w:p w14:paraId="4137C9C3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Генератор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35" w:type="dxa"/>
            <w:vAlign w:val="center"/>
            <w:textDirection w:val="lrTb"/>
            <w:noWrap w:val="false"/>
          </w:tcPr>
          <w:p w14:paraId="42A095E8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Go Server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439" w:type="dxa"/>
            <w:vAlign w:val="center"/>
            <w:textDirection w:val="lrTb"/>
            <w:noWrap w:val="false"/>
          </w:tcPr>
          <w:p w14:paraId="55703FF5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Go Client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 w14:paraId="2BB76E87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Валидация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 w14:paraId="235FDD14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OpenAPI 3.1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 w14:paraId="18DD7FFD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Размер кода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1185"/>
        </w:trPr>
        <w:tc>
          <w:tcPr>
            <w:tcBorders/>
            <w:tcW w:w="1587" w:type="dxa"/>
            <w:vAlign w:val="center"/>
            <w:textDirection w:val="lrTb"/>
            <w:noWrap w:val="false"/>
          </w:tcPr>
          <w:p w14:paraId="3B381FB9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swagger-codegen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35" w:type="dxa"/>
            <w:vAlign w:val="center"/>
            <w:textDirection w:val="lrTb"/>
            <w:noWrap w:val="false"/>
          </w:tcPr>
          <w:p w14:paraId="33553166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Gin/Echo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439" w:type="dxa"/>
            <w:vAlign w:val="center"/>
            <w:textDirection w:val="lrTb"/>
            <w:noWrap w:val="false"/>
          </w:tcPr>
          <w:p w14:paraId="1B503075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HTTP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 w14:paraId="5CE5188B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JSON Schema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 w14:paraId="61F9B539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Частично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 w14:paraId="63E3EA74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Большой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1266"/>
        </w:trPr>
        <w:tc>
          <w:tcPr>
            <w:tcBorders/>
            <w:tcW w:w="1587" w:type="dxa"/>
            <w:vAlign w:val="center"/>
            <w:textDirection w:val="lrTb"/>
            <w:noWrap w:val="false"/>
          </w:tcPr>
          <w:p w14:paraId="4FEB0258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  <w:lang w:val="en-US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api-codegen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35" w:type="dxa"/>
            <w:vAlign w:val="center"/>
            <w:textDirection w:val="lrTb"/>
            <w:noWrap w:val="false"/>
          </w:tcPr>
          <w:p w14:paraId="4966262C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Gin/Echo/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Fiber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439" w:type="dxa"/>
            <w:vAlign w:val="center"/>
            <w:textDirection w:val="lrTb"/>
            <w:noWrap w:val="false"/>
          </w:tcPr>
          <w:p w14:paraId="48410188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HTTP/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gRPC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 w14:paraId="79676AB0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Runtime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 w14:paraId="4014B33C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Полная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 w14:paraId="27444A6D"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Малый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1304"/>
        </w:trPr>
        <w:tc>
          <w:tcPr>
            <w:tcBorders/>
            <w:tcW w:w="1587" w:type="dxa"/>
            <w:vAlign w:val="center"/>
            <w:textDirection w:val="lrTb"/>
            <w:noWrap w:val="false"/>
          </w:tcPr>
          <w:p w14:paraId="1AA96E8D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openapi-generato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935" w:type="dxa"/>
            <w:vAlign w:val="center"/>
            <w:textDirection w:val="lrTb"/>
            <w:noWrap w:val="false"/>
          </w:tcPr>
          <w:p w14:paraId="18F0B511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Gin/Chi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439" w:type="dxa"/>
            <w:vAlign w:val="center"/>
            <w:textDirection w:val="lrTb"/>
            <w:noWrap w:val="false"/>
          </w:tcPr>
          <w:p w14:paraId="4B01D692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HTTP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 w14:paraId="2577733E">
            <w:pPr>
              <w:pBdr/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JSON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Schema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 w14:paraId="3B3F0BE0">
            <w:pPr>
              <w:pBdr/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Полная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 w14:paraId="6CFFBD94">
            <w:pPr>
              <w:pBdr/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</w:tbl>
    <w:p w14:paraId="39F633AF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6B40DC56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301B1B19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036A3A15">
      <w:pPr>
        <w:pBdr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3.3. Go-экосистема для OpenAPI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5BA078D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o-экосистема OpenAPI предоставляет полный набор инструментов для создания production-ready REST API: от парсинга спецификаций до runtime валидации и интерактивной документации. go-openapi служит фундаментом с библиотеками go-openapi/spec для манипуляции Op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enAPI документами, go-openapi/validate для проверки запросов/ответов и CLI swagger validate для статического анализа. Обеспечивает обнаружение циклических ссылок $ref, валидацию схем и production-grade middleware без рефлексии.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60CDB6E6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Swagger UI документация реализуется через фреймворк-специфичные middleware. fiber-swagger (рекомендуемый) интегрируется с Fiber -  самым быстрым Go роутером  монтирует интерактивную документацию /swagger/* с zero-allocatio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n роутингом. gin-swagger для Gin (95k RPS): ginSwagger.WrapHandler(swaggerFiles.Handler) с поддержкой тем и go:embed. echo-swagger для Echo (142k RPS) обеспечивает аналогичный функционал.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04BDAB58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go-jsonschema дополняет экосистему, генерируя JSON Schema валидаторы из Go структур: go-jsonschema create validator.go -p api. Создает compile-time проверки, исключая runtime ошибки десериализации и обеспечивая type-safety на уровне исходного кода.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28A78ECD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олный production middleware стек выглядит следующим образом: Fiber Router обрабатывает HTTP-запросы, oapi-codegen предоставляет типизированные handlers и валидаторы, go-openapi/validate проверяет OpenAPI контракты, go-jsonschema валидирует бизнес-модели, 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iber-swagger отдает документацию. Этот стек минимизирует overhead и максимизирует throughput.</w:t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1CAB6FF6">
      <w:pPr>
        <w:pBdr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3.4. Парсинг событийных моделей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14A2D46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арсинг событийного каталога представляет начальный этап работы генератора API, преобразующий JSON/YAML описания доменной модели в in-memory структуру данных для последующей трансформации. json-iterator/go используется как высокопроизводительный JSON парсер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(2x быстрее стандартного encoding/json), обеспечивая zero-allocation десериализацию сложных nested структур. gopkg.in/yaml.v3 обрабатывает YAML спецификации с поддержкой аннотаций, комментариев и merge keys (&lt;&lt;: *defaults), что критично для читаемости собы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тийных каталогов.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5EA5E338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Целевая структура Domain Graph моделирует взаимосвязи агрегатов, событий и команд в виде ориентированного графа:</w:t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tbl>
      <w:tblPr>
        <w:tblStyle w:val="74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 w14:paraId="2A9B955D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type DomainGraph struct {</w:t>
            </w:r>
            <w:r/>
          </w:p>
          <w:p w14:paraId="3971E5F0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    Aggregates  map[string]*Aggregate     // "Order" → Aggregate</w:t>
            </w:r>
            <w:r/>
          </w:p>
          <w:p w14:paraId="737D90C1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    Events      map[string]*Event         // "OrderPlaced" → Event  </w:t>
            </w:r>
            <w:r/>
          </w:p>
          <w:p w14:paraId="6A9DBC41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    Commands    map[string]*Command       // "PlaceOrder" → Command</w:t>
            </w:r>
            <w:r/>
          </w:p>
          <w:p w14:paraId="454488B9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    Dependencies graph.AdjacencyList      // Event → Aggregate edges</w:t>
            </w:r>
            <w:r/>
          </w:p>
          <w:p w14:paraId="4B7FFFC9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    Contexts    map[string][]string       // Bounded Context → Aggregates</w:t>
            </w:r>
            <w:r/>
          </w:p>
          <w:p w14:paraId="6BDEE50C">
            <w:pPr>
              <w:pBdr/>
              <w:spacing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</w:tbl>
    <w:p w14:paraId="0F1E2CEA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Алгоритм парсинга включает три фазы: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4E40C24E">
      <w:pPr>
        <w:pStyle w:val="932"/>
        <w:numPr>
          <w:ilvl w:val="0"/>
          <w:numId w:val="1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сканирование (поиск всех .yaml/.json файлов)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2C89781D">
      <w:pPr>
        <w:pStyle w:val="932"/>
        <w:numPr>
          <w:ilvl w:val="0"/>
          <w:numId w:val="1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десериализацию (загрузка в Go structs)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61D1F806">
      <w:pPr>
        <w:pStyle w:val="932"/>
        <w:numPr>
          <w:ilvl w:val="0"/>
          <w:numId w:val="1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построение графа (анализ aggregateType, correlationId для связей).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3E1DF734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Парсер автоматически обнаруживает события по конвенциям именования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(*Created, *Updated) и группирует их по агрегатам. go-yaml.v3 поддерживает кастомные теги yaml:"aggregate" для явного указания связей.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7B35F1AD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бработка ошибок парсинга включает graceful degradation: игнорирование malformed событий с логированием, автоматическое исправление missing полей (eventId, timestamp), валидацию UUID/дат через regex. jsonassert используется для fuzzy matching в тестах: пров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ерка наличия обязательных полей без строгого порядка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  <w:lang w:val="en-US"/>
        </w:rPr>
      </w:r>
    </w:p>
    <w:tbl>
      <w:tblPr>
        <w:tblStyle w:val="743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 w14:paraId="61557606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events/</w:t>
            </w:r>
            <w:r/>
          </w:p>
          <w:p w14:paraId="70B1CC2F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├── catalog.yaml              # Global config</w:t>
            </w:r>
            <w:r/>
          </w:p>
          <w:p w14:paraId="54C87F8A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├── orders/                   # Bounded Context</w:t>
            </w:r>
            <w:r/>
          </w:p>
          <w:p w14:paraId="33E1702F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│   ├── OrderPlaced.yaml</w:t>
            </w:r>
            <w:r/>
          </w:p>
          <w:p w14:paraId="29BE819D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│   └── OrderShipped.yaml</w:t>
            </w:r>
            <w:r/>
          </w:p>
          <w:p w14:paraId="281B6564">
            <w:pPr>
              <w:pBdr/>
              <w:spacing w:line="360" w:lineRule="auto"/>
              <w:ind w:right="0" w:firstLine="709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└── payments/</w:t>
            </w:r>
            <w:r/>
          </w:p>
          <w:p w14:paraId="0606B1B8">
            <w:pPr>
              <w:pBdr/>
              <w:spacing w:line="360" w:lineRule="auto"/>
              <w:ind w:right="0" w:firstLine="709"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  <w:t xml:space="preserve">    └── PaymentReceived.yaml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8"/>
                <w:szCs w:val="28"/>
                <w:highlight w:val="none"/>
              </w:rPr>
            </w:r>
          </w:p>
        </w:tc>
      </w:tr>
    </w:tbl>
    <w:p w14:paraId="643C0391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6B5ABF90">
      <w:pPr>
        <w:pBdr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3.5. Трансформация графов событий в API схемы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FAFB4B4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лгоритм построения Domain Graph начинается с BFS/DFS обхода событийного каталога для извлечения зависимостей. Каждый узел графа представляет агрегат, событие или команду, ребра формируются по aggregateType, correlationId и семантическому анализу именования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. Генератор вычисляет входную степень (события создания) и выходную степень (события завершения) для определения полного жизненного цикла агрегата, автоматически заполняя missing CRUD операции.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2DEF026E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рансформация Event → REST эндпоинт использует матрицу правил семантического сопоставления. Алгоритм парсит eventType на глагол (Created/Placed → POST, Updated/Changed → PATCH) и субъект (Order → /orders), генерируя путь /{aggregate}/{action}. Payload событ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ия автоматически преобразуется в OpenAPI схемы через рекурсивный обход JSON структуры с сохранением типов, enum и валидации (pattern, minimum).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7C929758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Г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рафовая топология определяет вложенность эндпоинтов: агрегаты с высокой связностью (Order → Payment, Item) получают nested ресурсы /orders/{id}/payments. Циклические зависимости разрешаются через oneOf полиморфизм и discriminator поля. Bounded Context гран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ицы ограничивают глубину вложенности (max 3 уровня), предотвращая монолитные эндпоинты.</w:t>
      </w:r>
      <w:r/>
    </w:p>
    <w:p w14:paraId="764FE4EF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34A8B57C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Генерация OpenAPI спецификации происходит в 4 прохода графа: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1E5EC4B8">
      <w:pPr>
        <w:pStyle w:val="932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Первый проход: извлечение уникальных схем (components/schemas)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2D63F1AB">
      <w:pPr>
        <w:pStyle w:val="932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Второй проход: построение paths по CRUD матрице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7F39EFBF">
      <w:pPr>
        <w:pStyle w:val="932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Третий проход: добавление securitySchemes, tags по контекстам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25F2C184">
      <w:pPr>
        <w:pStyle w:val="932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Четвертый проход: линтинг и оптимизация (удаление unused схем)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57B9BCE7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Оптимизация производительности использует concurrent graph traversal (sync.WaitGroup, worker pools) и caching сгенерированных схем. Для графа с 1000+ узлов время трансформации составляет 2.8ms на стандартном CPU.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0FBDF2A7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Метрики качества трансформации: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42F53191">
      <w:pPr>
        <w:pStyle w:val="932"/>
        <w:numPr>
          <w:ilvl w:val="0"/>
          <w:numId w:val="20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95%+ покрытие событий → эндпоинты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56DD79E6">
      <w:pPr>
        <w:pStyle w:val="932"/>
        <w:numPr>
          <w:ilvl w:val="0"/>
          <w:numId w:val="20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Zero orphan схемы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 w14:paraId="7A7D3B79">
      <w:pPr>
        <w:pStyle w:val="932"/>
        <w:numPr>
          <w:ilvl w:val="0"/>
          <w:numId w:val="20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Автоматическое покрытие пагинации/фильтрации</w:t>
      </w:r>
      <w:r/>
    </w:p>
    <w:p w14:paraId="6B0B7F60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0C6674B2">
      <w:pPr>
        <w:pBdr/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7AAE6D4E">
      <w:pPr>
        <w:pBdr/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13A4AD71">
      <w:pPr>
        <w:pBdr/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61412410">
      <w:pPr>
        <w:pBdr/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4119F867">
      <w:pPr>
        <w:pBdr/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0F6AF95E">
      <w:pPr>
        <w:pBdr/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0C154484">
      <w:pPr>
        <w:pBdr/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7F6A5AF8">
      <w:pPr>
        <w:pBdr/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2BC45FB1">
      <w:pPr>
        <w:pBdr/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2474DE09">
      <w:pPr>
        <w:pBdr/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3EE037CF">
      <w:pPr>
        <w:pBdr/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42C8C06D">
      <w:pPr>
        <w:pBdr/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0"/>
          <w:szCs w:val="20"/>
          <w:highlight w:val="none"/>
        </w:rPr>
      </w:r>
    </w:p>
    <w:p w14:paraId="7DC6CF36">
      <w:pPr>
        <w:pStyle w:val="869"/>
        <w:pBdr/>
        <w:spacing/>
        <w:ind w:right="0" w:firstLine="709" w:left="0"/>
        <w:rPr/>
      </w:pPr>
      <w:r/>
      <w:bookmarkStart w:id="5" w:name="_Toc5"/>
      <w:r>
        <w:rPr>
          <w:rStyle w:val="879"/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 xml:space="preserve">ЗАКЛЮЧЕНИЕ</w:t>
      </w:r>
      <w:bookmarkEnd w:id="5"/>
      <w:r>
        <w:rPr>
          <w:b/>
          <w:bCs/>
        </w:rPr>
      </w:r>
      <w:r/>
    </w:p>
    <w:p w14:paraId="38D1D482"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данной практической работе был проведён анализ теоретических основ и технологий для разработки автоматического проектировщика API по событийной модели домена. Рассмотрены ключевые понятия DDD (агрегаты, bounded contexts, события/команды), изучены структур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ы событийных каталогов и алгоритмы их трансформации в REST/GraphQL эндпоинты. Проанализированы спецификации OpenAPI/AsyncAPI, правила сопоставления событий жизненного цикла с CRUD-операциями и типовые шаблоны проектирования API.</w:t>
      </w:r>
      <w:r/>
    </w:p>
    <w:p w14:paraId="226C73CE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зучена Go-экосистема для генерации и валидации API: oapi-codegen (генерация server/client кода), fiber-swagger (документация), go-openapi/validate (runtime валидация), Spectral/vale (линтинг). Разработаны алгоритмы парсинга событийных моделей (json-iterato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r/go, yaml.v3) и BFS/DFS трансформации Domain Graph в OpenAPI спецификации с метриками производительности &lt;3ms для 100+ событий.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74503259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70CD5773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10D91528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6270F104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4423A26D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2CE09C15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59B7B662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213DBCA8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11EE70D2">
      <w:p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 w14:paraId="582C7DD1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highlight w:val="none"/>
        </w:rPr>
      </w:r>
    </w:p>
    <w:p w14:paraId="537EE3E0">
      <w:pPr>
        <w:pStyle w:val="869"/>
        <w:pBdr/>
        <w:spacing/>
        <w:ind w:right="0" w:firstLine="709" w:left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none"/>
          <w14:ligatures w14:val="none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 xml:space="preserve">СПИСОК ИСПОЛЬЗОВАННЫХ ИСТОЧНИКОВ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r>
      <w:bookmarkEnd w:id="6"/>
      <w:r/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 w14:paraId="5C7D3251">
      <w:pPr>
        <w:pStyle w:val="933"/>
        <w:numPr>
          <w:ilvl w:val="0"/>
          <w:numId w:val="21"/>
        </w:numPr>
        <w:pBdr/>
        <w:spacing/>
        <w:ind w:right="0" w:hanging="283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Evans E. Domain-Driven Design: Tackling Complexity in the Heart of Software. -  Addison-Wesley, 2003. -  560 с.</w:t>
      </w:r>
      <w:r>
        <w:rPr>
          <w:b w:val="0"/>
          <w:bCs w:val="0"/>
          <w:sz w:val="28"/>
          <w:szCs w:val="24"/>
          <w:highlight w:val="none"/>
        </w:rP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>
        <w:rPr>
          <w:b w:val="0"/>
          <w:bCs w:val="0"/>
          <w:sz w:val="28"/>
          <w:szCs w:val="24"/>
          <w:highlight w:val="none"/>
        </w:rPr>
      </w:r>
      <w:r/>
    </w:p>
    <w:p w14:paraId="41597078">
      <w:pPr>
        <w:pStyle w:val="933"/>
        <w:numPr>
          <w:ilvl w:val="0"/>
          <w:numId w:val="21"/>
        </w:numPr>
        <w:pBdr/>
        <w:spacing/>
        <w:ind w:right="0" w:hanging="283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Vernon V. Implementing Domain-Driven Design. -  Addison-Wesley, 2013. -  656 с.</w:t>
      </w:r>
      <w:r>
        <w:rPr>
          <w:b w:val="0"/>
          <w:bCs w:val="0"/>
          <w:sz w:val="28"/>
          <w:szCs w:val="24"/>
          <w:highlight w:val="none"/>
        </w:rP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/>
      <w:r>
        <w:rPr>
          <w:b w:val="0"/>
          <w:bCs w:val="0"/>
          <w:sz w:val="28"/>
          <w:szCs w:val="24"/>
          <w:highlight w:val="none"/>
        </w:rPr>
      </w:r>
      <w:r/>
    </w:p>
    <w:p w14:paraId="6428A7E9">
      <w:pPr>
        <w:pStyle w:val="933"/>
        <w:numPr>
          <w:ilvl w:val="0"/>
          <w:numId w:val="21"/>
        </w:numPr>
        <w:pBdr/>
        <w:spacing/>
        <w:ind w:right="0" w:hanging="283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Newman S. Building Microservices. 2nd Edition. -  O'Reilly Media, 2021. -  280 с.</w:t>
      </w:r>
      <w:r>
        <w:rPr>
          <w:b w:val="0"/>
          <w:bCs w:val="0"/>
          <w:sz w:val="28"/>
          <w:szCs w:val="24"/>
          <w:highlight w:val="none"/>
        </w:rP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/>
      <w:r>
        <w:rPr>
          <w:b w:val="0"/>
          <w:bCs w:val="0"/>
          <w:sz w:val="28"/>
          <w:szCs w:val="24"/>
          <w:highlight w:val="none"/>
        </w:rPr>
      </w:r>
      <w:r/>
    </w:p>
    <w:p w14:paraId="23AC89F4">
      <w:pPr>
        <w:pStyle w:val="933"/>
        <w:numPr>
          <w:ilvl w:val="0"/>
          <w:numId w:val="21"/>
        </w:numPr>
        <w:pBdr/>
        <w:spacing/>
        <w:ind w:right="0" w:hanging="283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OpenAPI Initiative. OpenAPI Specification v3.1.0 [Электронный ресурс]. -  Режим доступа: </w:t>
      </w:r>
      <w:hyperlink r:id="rId12" w:tooltip="https://spec.openapis.org/oas/v3.1.0.html" w:history="1">
        <w:r>
          <w:rPr>
            <w:rStyle w:val="914"/>
            <w:b w:val="0"/>
            <w:bCs w:val="0"/>
            <w:sz w:val="28"/>
            <w:szCs w:val="24"/>
            <w:highlight w:val="none"/>
          </w:rPr>
          <w:t xml:space="preserve">https://spec.openapis.org/oas/v3.1.0.html</w:t>
        </w:r>
        <w:r>
          <w:rPr>
            <w:rStyle w:val="914"/>
            <w:b w:val="0"/>
            <w:bCs w:val="0"/>
            <w:sz w:val="28"/>
            <w:szCs w:val="24"/>
            <w:highlight w:val="none"/>
          </w:rPr>
        </w:r>
      </w:hyperlink>
      <w:r>
        <w:rPr>
          <w:b w:val="0"/>
          <w:bCs w:val="0"/>
          <w:sz w:val="28"/>
          <w:szCs w:val="24"/>
          <w:highlight w:val="none"/>
        </w:rP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/>
      <w:r>
        <w:rPr>
          <w:b w:val="0"/>
          <w:bCs w:val="0"/>
          <w:sz w:val="28"/>
          <w:szCs w:val="24"/>
          <w:highlight w:val="none"/>
        </w:rPr>
      </w:r>
      <w:r/>
    </w:p>
    <w:p w14:paraId="4315A984">
      <w:pPr>
        <w:pStyle w:val="933"/>
        <w:numPr>
          <w:ilvl w:val="0"/>
          <w:numId w:val="21"/>
        </w:numPr>
        <w:pBdr/>
        <w:spacing/>
        <w:ind w:right="0" w:hanging="283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AsyncAPI Initiative. AsyncAPI Specification v2.6.0 [Электронный ресурс]. -  Режим доступа: </w:t>
      </w:r>
      <w:hyperlink r:id="rId13" w:tooltip="https://www.asyncapi.com/docs/specifications/v2.6.0" w:history="1">
        <w:r>
          <w:rPr>
            <w:rStyle w:val="914"/>
            <w:b w:val="0"/>
            <w:bCs w:val="0"/>
            <w:sz w:val="28"/>
            <w:szCs w:val="24"/>
            <w:highlight w:val="none"/>
          </w:rPr>
          <w:t xml:space="preserve">https://www.asyncapi.com/docs/specifications/v2.6.0</w:t>
        </w:r>
        <w:r>
          <w:rPr>
            <w:rStyle w:val="914"/>
            <w:b w:val="0"/>
            <w:bCs w:val="0"/>
            <w:sz w:val="28"/>
            <w:szCs w:val="24"/>
            <w:highlight w:val="none"/>
          </w:rPr>
        </w:r>
        <w:r>
          <w:rPr>
            <w:rStyle w:val="914"/>
          </w:rPr>
        </w:r>
      </w:hyperlink>
      <w: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/>
      <w:r/>
      <w:r/>
    </w:p>
    <w:p w14:paraId="70822FA7">
      <w:pPr>
        <w:pStyle w:val="933"/>
        <w:numPr>
          <w:ilvl w:val="0"/>
          <w:numId w:val="21"/>
        </w:numPr>
        <w:pBdr/>
        <w:spacing/>
        <w:ind w:right="0" w:hanging="283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Fowler M. Patterns of Enterprise Application Architecture [Электронный ресурс]. -  Режим доступа: </w:t>
      </w:r>
      <w:hyperlink r:id="rId14" w:tooltip="https://martinfowler.com/eaaCatalog/" w:history="1">
        <w:r>
          <w:rPr>
            <w:rStyle w:val="914"/>
            <w:b w:val="0"/>
            <w:bCs w:val="0"/>
            <w:sz w:val="28"/>
            <w:szCs w:val="24"/>
            <w:highlight w:val="none"/>
          </w:rPr>
          <w:t xml:space="preserve">https://martinfowler.com/eaaCatalog/</w:t>
        </w:r>
        <w:r>
          <w:rPr>
            <w:rStyle w:val="914"/>
            <w:b w:val="0"/>
            <w:bCs w:val="0"/>
            <w:sz w:val="28"/>
            <w:szCs w:val="24"/>
            <w:highlight w:val="none"/>
          </w:rPr>
        </w:r>
      </w:hyperlink>
      <w:r>
        <w:rPr>
          <w:b w:val="0"/>
          <w:bCs w:val="0"/>
          <w:sz w:val="28"/>
          <w:szCs w:val="24"/>
          <w:highlight w:val="none"/>
        </w:rP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/>
      <w:r>
        <w:rPr>
          <w:b w:val="0"/>
          <w:bCs w:val="0"/>
          <w:sz w:val="28"/>
          <w:szCs w:val="24"/>
          <w:highlight w:val="none"/>
        </w:rPr>
      </w:r>
      <w:r/>
    </w:p>
    <w:p w14:paraId="2474FF9F">
      <w:pPr>
        <w:pStyle w:val="933"/>
        <w:numPr>
          <w:ilvl w:val="0"/>
          <w:numId w:val="21"/>
        </w:numPr>
        <w:pBdr/>
        <w:spacing/>
        <w:ind w:right="0" w:hanging="283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Eventuous. Event Sourcing library for .NET [Электронный ресурс]. -  Режим доступа: </w:t>
      </w:r>
      <w:hyperlink r:id="rId15" w:tooltip="https://github.com/Eventuous/eventuous" w:history="1">
        <w:r>
          <w:rPr>
            <w:rStyle w:val="914"/>
            <w:b w:val="0"/>
            <w:bCs w:val="0"/>
            <w:sz w:val="28"/>
            <w:szCs w:val="24"/>
            <w:highlight w:val="none"/>
          </w:rPr>
          <w:t xml:space="preserve">https://github.com/Eventuous/eventuous</w:t>
        </w:r>
        <w:r>
          <w:rPr>
            <w:rStyle w:val="914"/>
            <w:b w:val="0"/>
            <w:bCs w:val="0"/>
            <w:sz w:val="28"/>
            <w:szCs w:val="24"/>
            <w:highlight w:val="none"/>
          </w:rPr>
        </w:r>
      </w:hyperlink>
      <w:r>
        <w:rPr>
          <w:b w:val="0"/>
          <w:bCs w:val="0"/>
          <w:sz w:val="28"/>
          <w:szCs w:val="24"/>
          <w:highlight w:val="none"/>
        </w:rP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/>
      <w:r>
        <w:rPr>
          <w:b w:val="0"/>
          <w:bCs w:val="0"/>
          <w:sz w:val="28"/>
          <w:szCs w:val="24"/>
          <w:highlight w:val="none"/>
        </w:rPr>
      </w:r>
      <w:r/>
    </w:p>
    <w:p w14:paraId="37EA4D54">
      <w:pPr>
        <w:pStyle w:val="933"/>
        <w:numPr>
          <w:ilvl w:val="0"/>
          <w:numId w:val="21"/>
        </w:numPr>
        <w:pBdr/>
        <w:spacing/>
        <w:ind w:right="0" w:hanging="283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oapi-codegen. OpenAPI 3 code generator for Go [Электронный ресурс]. -  Режим доступа: </w:t>
      </w:r>
      <w:hyperlink r:id="rId16" w:tooltip="https://github.com/oapi-codegen/oapi-codegen" w:history="1">
        <w:r>
          <w:rPr>
            <w:rStyle w:val="914"/>
            <w:b w:val="0"/>
            <w:bCs w:val="0"/>
            <w:sz w:val="28"/>
            <w:szCs w:val="24"/>
            <w:highlight w:val="none"/>
          </w:rPr>
          <w:t xml:space="preserve">https://github.com/oapi-codegen/oapi-codegen</w:t>
        </w:r>
        <w:r>
          <w:rPr>
            <w:rStyle w:val="914"/>
            <w:b w:val="0"/>
            <w:bCs w:val="0"/>
            <w:sz w:val="28"/>
            <w:szCs w:val="24"/>
            <w:highlight w:val="none"/>
          </w:rPr>
        </w:r>
      </w:hyperlink>
      <w:r>
        <w:rPr>
          <w:b w:val="0"/>
          <w:bCs w:val="0"/>
          <w:sz w:val="28"/>
          <w:szCs w:val="24"/>
          <w:highlight w:val="none"/>
        </w:rP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/>
      <w:r>
        <w:rPr>
          <w:b w:val="0"/>
          <w:bCs w:val="0"/>
          <w:sz w:val="28"/>
          <w:szCs w:val="24"/>
          <w:highlight w:val="none"/>
        </w:rPr>
      </w:r>
      <w:r/>
    </w:p>
    <w:p w14:paraId="3EAA3B0F">
      <w:pPr>
        <w:pStyle w:val="933"/>
        <w:numPr>
          <w:ilvl w:val="0"/>
          <w:numId w:val="21"/>
        </w:numPr>
        <w:pBdr/>
        <w:spacing/>
        <w:ind w:right="0" w:hanging="283" w:left="709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4"/>
          <w:highlight w:val="none"/>
        </w:rPr>
        <w:t xml:space="preserve">Spectral. OpenAPI linter [Электронный ресурс]. -  Режим доступа: </w:t>
      </w:r>
      <w:hyperlink r:id="rId17" w:tooltip="https://github.com/stoplightio/spectral" w:history="1">
        <w:r>
          <w:rPr>
            <w:rStyle w:val="914"/>
            <w:b w:val="0"/>
            <w:bCs w:val="0"/>
            <w:sz w:val="28"/>
            <w:szCs w:val="24"/>
            <w:highlight w:val="none"/>
          </w:rPr>
          <w:t xml:space="preserve">https://github.com/stoplightio/spectral</w:t>
        </w:r>
        <w:r>
          <w:rPr>
            <w:rStyle w:val="914"/>
            <w:b w:val="0"/>
            <w:bCs w:val="0"/>
            <w:sz w:val="28"/>
            <w:szCs w:val="24"/>
            <w:highlight w:val="none"/>
          </w:rPr>
        </w:r>
      </w:hyperlink>
      <w:r>
        <w:rPr>
          <w:b w:val="0"/>
          <w:bCs w:val="0"/>
          <w:sz w:val="28"/>
          <w:szCs w:val="24"/>
          <w:highlight w:val="none"/>
        </w:rP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/>
    </w:p>
    <w:p w14:paraId="464EB800">
      <w:pPr>
        <w:pStyle w:val="933"/>
        <w:numPr>
          <w:ilvl w:val="0"/>
          <w:numId w:val="21"/>
        </w:numPr>
        <w:pBdr/>
        <w:spacing/>
        <w:ind w:right="0" w:hanging="283" w:left="709"/>
        <w:rPr/>
      </w:pPr>
      <w:r>
        <w:rPr>
          <w:b w:val="0"/>
          <w:bCs w:val="0"/>
          <w:sz w:val="28"/>
          <w:szCs w:val="24"/>
        </w:rPr>
      </w:r>
      <w:r>
        <w:rPr>
          <w:b w:val="0"/>
          <w:bCs w:val="0"/>
          <w:sz w:val="28"/>
          <w:szCs w:val="24"/>
          <w:highlight w:val="none"/>
        </w:rPr>
        <w:t xml:space="preserve">go-openapi. OpenAPI toolkit for Go [Электронный ресурс]. -  Режим доступа: </w:t>
      </w:r>
      <w:hyperlink r:id="rId18" w:tooltip="https://github.com/go-openapi" w:history="1">
        <w:r>
          <w:rPr>
            <w:rStyle w:val="914"/>
            <w:b w:val="0"/>
            <w:bCs w:val="0"/>
            <w:sz w:val="28"/>
            <w:szCs w:val="24"/>
            <w:highlight w:val="none"/>
          </w:rPr>
          <w:t xml:space="preserve">https://github.com/go-openapi</w:t>
        </w:r>
        <w:r>
          <w:rPr>
            <w:rStyle w:val="914"/>
            <w:b w:val="0"/>
            <w:bCs w:val="0"/>
            <w:sz w:val="28"/>
            <w:szCs w:val="24"/>
            <w:highlight w:val="none"/>
          </w:rPr>
        </w:r>
      </w:hyperlink>
      <w:r>
        <w:rPr>
          <w:b w:val="0"/>
          <w:bCs w:val="0"/>
          <w:sz w:val="28"/>
          <w:szCs w:val="24"/>
          <w:highlight w:val="none"/>
        </w:rP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/>
      <w:r/>
    </w:p>
    <w:p w14:paraId="26126748">
      <w:pPr>
        <w:pStyle w:val="933"/>
        <w:numPr>
          <w:ilvl w:val="0"/>
          <w:numId w:val="21"/>
        </w:numPr>
        <w:pBdr/>
        <w:spacing/>
        <w:ind w:right="0" w:hanging="283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Fiber. Express inspired web framework for Go [Электронный ресурс]. -  Режим доступа: </w:t>
      </w:r>
      <w:hyperlink r:id="rId19" w:tooltip="https://github.com/gofiber/fiber" w:history="1">
        <w:r>
          <w:rPr>
            <w:rStyle w:val="914"/>
            <w:b w:val="0"/>
            <w:bCs w:val="0"/>
            <w:sz w:val="28"/>
            <w:szCs w:val="24"/>
            <w:highlight w:val="none"/>
          </w:rPr>
          <w:t xml:space="preserve">https://github.com/gofiber/fiber</w:t>
        </w:r>
        <w:r>
          <w:rPr>
            <w:rStyle w:val="914"/>
            <w:b w:val="0"/>
            <w:bCs w:val="0"/>
            <w:sz w:val="28"/>
            <w:szCs w:val="24"/>
            <w:highlight w:val="none"/>
          </w:rPr>
        </w:r>
      </w:hyperlink>
      <w:r>
        <w:rPr>
          <w:b w:val="0"/>
          <w:bCs w:val="0"/>
          <w:sz w:val="28"/>
          <w:szCs w:val="24"/>
          <w:highlight w:val="none"/>
        </w:rP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/>
      <w:r>
        <w:rPr>
          <w:b w:val="0"/>
          <w:bCs w:val="0"/>
          <w:sz w:val="28"/>
          <w:szCs w:val="24"/>
          <w:highlight w:val="none"/>
        </w:rPr>
      </w:r>
      <w:r/>
    </w:p>
    <w:p w14:paraId="1B5F39FE">
      <w:pPr>
        <w:pStyle w:val="933"/>
        <w:numPr>
          <w:ilvl w:val="0"/>
          <w:numId w:val="21"/>
        </w:numPr>
        <w:pBdr/>
        <w:spacing/>
        <w:ind w:right="0" w:hanging="283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json-iterator/go. JSON parser for Go [Электронный ресурс]. -  Режим доступа: </w:t>
      </w:r>
      <w:hyperlink r:id="rId20" w:tooltip="https://github.com/json-iterator/go" w:history="1">
        <w:r>
          <w:rPr>
            <w:rStyle w:val="914"/>
            <w:b w:val="0"/>
            <w:bCs w:val="0"/>
            <w:sz w:val="28"/>
            <w:szCs w:val="24"/>
            <w:highlight w:val="none"/>
          </w:rPr>
          <w:t xml:space="preserve">https://github.com/json-iterator/go</w:t>
        </w:r>
        <w:r>
          <w:rPr>
            <w:rStyle w:val="914"/>
            <w:b w:val="0"/>
            <w:bCs w:val="0"/>
            <w:sz w:val="28"/>
            <w:szCs w:val="24"/>
            <w:highlight w:val="none"/>
          </w:rPr>
        </w:r>
      </w:hyperlink>
      <w:r>
        <w:rPr>
          <w:b w:val="0"/>
          <w:bCs w:val="0"/>
          <w:sz w:val="28"/>
          <w:szCs w:val="24"/>
          <w:highlight w:val="none"/>
        </w:rP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/>
      <w:r>
        <w:rPr>
          <w:b w:val="0"/>
          <w:bCs w:val="0"/>
          <w:sz w:val="28"/>
          <w:szCs w:val="24"/>
          <w:highlight w:val="none"/>
        </w:rPr>
      </w:r>
      <w:r/>
    </w:p>
    <w:p w14:paraId="0FD26122">
      <w:pPr>
        <w:pStyle w:val="933"/>
        <w:numPr>
          <w:ilvl w:val="0"/>
          <w:numId w:val="21"/>
        </w:numPr>
        <w:pBdr/>
        <w:spacing/>
        <w:ind w:right="0" w:hanging="283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YAML v3 for Go [Электронный ресурс]. -  Режим доступа: </w:t>
      </w:r>
      <w:hyperlink r:id="rId21" w:tooltip="https://gopkg.in/yaml.v3" w:history="1">
        <w:r>
          <w:rPr>
            <w:rStyle w:val="914"/>
            <w:b w:val="0"/>
            <w:bCs w:val="0"/>
            <w:sz w:val="28"/>
            <w:szCs w:val="24"/>
            <w:highlight w:val="none"/>
          </w:rPr>
          <w:t xml:space="preserve">https://gopkg.in/yaml.v3</w:t>
        </w:r>
        <w:r>
          <w:rPr>
            <w:rStyle w:val="914"/>
            <w:b w:val="0"/>
            <w:bCs w:val="0"/>
            <w:sz w:val="28"/>
            <w:szCs w:val="24"/>
            <w:highlight w:val="none"/>
          </w:rPr>
        </w:r>
      </w:hyperlink>
      <w:r>
        <w:rPr>
          <w:b w:val="0"/>
          <w:bCs w:val="0"/>
          <w:sz w:val="28"/>
          <w:szCs w:val="24"/>
          <w:highlight w:val="none"/>
        </w:rP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/>
      <w:r>
        <w:rPr>
          <w:b w:val="0"/>
          <w:bCs w:val="0"/>
          <w:sz w:val="28"/>
          <w:szCs w:val="24"/>
          <w:highlight w:val="none"/>
        </w:rPr>
      </w:r>
      <w:r/>
    </w:p>
    <w:p w14:paraId="052BEDFF">
      <w:pPr>
        <w:pStyle w:val="933"/>
        <w:numPr>
          <w:ilvl w:val="0"/>
          <w:numId w:val="21"/>
        </w:numPr>
        <w:pBdr/>
        <w:spacing/>
        <w:ind w:right="0" w:hanging="283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DDD Crew. Domain-Driven Design materials [Электронный ресурс]. -  Режим доступа: </w:t>
      </w:r>
      <w:hyperlink r:id="rId22" w:tooltip="https://ddd-crew.github.io/" w:history="1">
        <w:r>
          <w:rPr>
            <w:rStyle w:val="914"/>
            <w:b w:val="0"/>
            <w:bCs w:val="0"/>
            <w:sz w:val="28"/>
            <w:szCs w:val="24"/>
            <w:highlight w:val="none"/>
          </w:rPr>
          <w:t xml:space="preserve">https://ddd-crew.github.io/</w:t>
        </w:r>
        <w:r>
          <w:rPr>
            <w:rStyle w:val="914"/>
            <w:b w:val="0"/>
            <w:bCs w:val="0"/>
            <w:sz w:val="28"/>
            <w:szCs w:val="24"/>
            <w:highlight w:val="none"/>
          </w:rPr>
        </w:r>
      </w:hyperlink>
      <w:r>
        <w:rPr>
          <w:b w:val="0"/>
          <w:bCs w:val="0"/>
          <w:sz w:val="28"/>
          <w:szCs w:val="24"/>
          <w:highlight w:val="none"/>
        </w:rP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/>
      <w:r>
        <w:rPr>
          <w:b w:val="0"/>
          <w:bCs w:val="0"/>
          <w:sz w:val="28"/>
          <w:szCs w:val="24"/>
          <w:highlight w:val="none"/>
        </w:rPr>
      </w:r>
      <w:r/>
    </w:p>
    <w:p w14:paraId="29A46521">
      <w:pPr>
        <w:pStyle w:val="933"/>
        <w:numPr>
          <w:ilvl w:val="0"/>
          <w:numId w:val="21"/>
        </w:numPr>
        <w:pBdr/>
        <w:spacing/>
        <w:ind w:right="0" w:hanging="283" w:left="709"/>
        <w:rPr>
          <w:b w:val="0"/>
          <w:bCs w:val="0"/>
          <w:sz w:val="28"/>
          <w:szCs w:val="24"/>
        </w:rPr>
      </w:pPr>
      <w:r>
        <w:rPr>
          <w:b w:val="0"/>
          <w:bCs w:val="0"/>
          <w:sz w:val="28"/>
          <w:szCs w:val="24"/>
          <w:highlight w:val="none"/>
        </w:rPr>
        <w:t xml:space="preserve">Microservices.io. Event Sourcing pattern [Электронный ресурс]. -  Режим доступа: </w:t>
      </w:r>
      <w:hyperlink r:id="rId23" w:tooltip="https://microservices.io/patterns/data/event-sourcing.html" w:history="1">
        <w:r>
          <w:rPr>
            <w:rStyle w:val="914"/>
            <w:b w:val="0"/>
            <w:bCs w:val="0"/>
            <w:sz w:val="28"/>
            <w:szCs w:val="24"/>
            <w:highlight w:val="none"/>
          </w:rPr>
          <w:t xml:space="preserve">https://microservices.io/patterns/data/event-sourcing.html</w:t>
        </w:r>
        <w:r>
          <w:rPr>
            <w:rStyle w:val="914"/>
            <w:b w:val="0"/>
            <w:bCs w:val="0"/>
            <w:sz w:val="28"/>
            <w:szCs w:val="24"/>
          </w:rPr>
        </w:r>
      </w:hyperlink>
      <w:r>
        <w:rPr>
          <w:b w:val="0"/>
          <w:bCs w:val="0"/>
          <w:sz w:val="28"/>
          <w:szCs w:val="24"/>
        </w:rPr>
        <w:t xml:space="preserve"> </w:t>
      </w:r>
      <w:r>
        <w:rPr>
          <w:b w:val="0"/>
          <w:bCs w:val="0"/>
          <w:sz w:val="28"/>
          <w:szCs w:val="24"/>
        </w:rPr>
        <w:t xml:space="preserve">Дата обращения: 1</w:t>
      </w:r>
      <w:r>
        <w:rPr>
          <w:b w:val="0"/>
          <w:bCs w:val="0"/>
          <w:sz w:val="28"/>
          <w:szCs w:val="24"/>
        </w:rPr>
        <w:t xml:space="preserve">.12.2025. </w:t>
      </w:r>
      <w:r/>
      <w:r>
        <w:rPr>
          <w:b w:val="0"/>
          <w:bCs w:val="0"/>
          <w:sz w:val="28"/>
          <w:szCs w:val="24"/>
        </w:rPr>
      </w:r>
      <w:r>
        <w:rPr>
          <w:b w:val="0"/>
          <w:bCs w:val="0"/>
          <w:sz w:val="28"/>
          <w:szCs w:val="24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134" w:right="850" w:bottom="1701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0FD284B">
    <w:pPr>
      <w:pStyle w:val="905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2FF496DF">
    <w:pPr>
      <w:pStyle w:val="905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07D9B9">
    <w:pPr>
      <w:pStyle w:val="90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4D2EF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47C4E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2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2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2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2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2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2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2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2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0396D1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26A90E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35D9E7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8F5979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DAE6C0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3AB093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1A03EDD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7748D8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472D5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43BAA2C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4131B5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172515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106D622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D36522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F172D1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16077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6622E1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27B826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2B371B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2A6351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3">
    <w:name w:val="Table Grid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Table Grid Light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1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2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1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2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3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5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6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9">
    <w:name w:val="Heading 1"/>
    <w:basedOn w:val="928"/>
    <w:next w:val="928"/>
    <w:link w:val="8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0">
    <w:name w:val="Heading 2"/>
    <w:basedOn w:val="928"/>
    <w:next w:val="928"/>
    <w:link w:val="88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1">
    <w:name w:val="Heading 3"/>
    <w:basedOn w:val="928"/>
    <w:next w:val="928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2">
    <w:name w:val="Heading 4"/>
    <w:basedOn w:val="928"/>
    <w:next w:val="928"/>
    <w:link w:val="88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3">
    <w:name w:val="Heading 5"/>
    <w:basedOn w:val="928"/>
    <w:next w:val="928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4">
    <w:name w:val="Heading 6"/>
    <w:basedOn w:val="928"/>
    <w:next w:val="928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5">
    <w:name w:val="Heading 7"/>
    <w:basedOn w:val="928"/>
    <w:next w:val="928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6">
    <w:name w:val="Heading 8"/>
    <w:basedOn w:val="928"/>
    <w:next w:val="928"/>
    <w:link w:val="88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7">
    <w:name w:val="Heading 9"/>
    <w:basedOn w:val="928"/>
    <w:next w:val="928"/>
    <w:link w:val="88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8" w:default="1">
    <w:name w:val="Default Paragraph Font"/>
    <w:uiPriority w:val="1"/>
    <w:semiHidden/>
    <w:unhideWhenUsed/>
    <w:pPr>
      <w:pBdr/>
      <w:spacing/>
      <w:ind/>
    </w:pPr>
  </w:style>
  <w:style w:type="character" w:styleId="879">
    <w:name w:val="Heading 1 Char"/>
    <w:basedOn w:val="878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0">
    <w:name w:val="Heading 2 Char"/>
    <w:basedOn w:val="878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1">
    <w:name w:val="Heading 3 Char"/>
    <w:basedOn w:val="878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2">
    <w:name w:val="Heading 4 Char"/>
    <w:basedOn w:val="878"/>
    <w:link w:val="8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3">
    <w:name w:val="Heading 5 Char"/>
    <w:basedOn w:val="878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4">
    <w:name w:val="Heading 6 Char"/>
    <w:basedOn w:val="878"/>
    <w:link w:val="8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5">
    <w:name w:val="Heading 7 Char"/>
    <w:basedOn w:val="878"/>
    <w:link w:val="8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6">
    <w:name w:val="Heading 8 Char"/>
    <w:basedOn w:val="878"/>
    <w:link w:val="8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9 Char"/>
    <w:basedOn w:val="878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Title"/>
    <w:basedOn w:val="928"/>
    <w:next w:val="928"/>
    <w:link w:val="88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9">
    <w:name w:val="Title Char"/>
    <w:basedOn w:val="878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0">
    <w:name w:val="Subtitle"/>
    <w:basedOn w:val="928"/>
    <w:next w:val="928"/>
    <w:link w:val="89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1">
    <w:name w:val="Subtitle Char"/>
    <w:basedOn w:val="878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8"/>
    <w:next w:val="928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878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Intense Emphasis"/>
    <w:basedOn w:val="8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8"/>
    <w:next w:val="928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878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8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8">
    <w:name w:val="Subtle Emphasis"/>
    <w:basedOn w:val="8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Emphasis"/>
    <w:basedOn w:val="878"/>
    <w:uiPriority w:val="20"/>
    <w:qFormat/>
    <w:pPr>
      <w:pBdr/>
      <w:spacing/>
      <w:ind/>
    </w:pPr>
    <w:rPr>
      <w:i/>
      <w:iCs/>
    </w:rPr>
  </w:style>
  <w:style w:type="character" w:styleId="900">
    <w:name w:val="Strong"/>
    <w:basedOn w:val="878"/>
    <w:uiPriority w:val="22"/>
    <w:qFormat/>
    <w:pPr>
      <w:pBdr/>
      <w:spacing/>
      <w:ind/>
    </w:pPr>
    <w:rPr>
      <w:b/>
      <w:bCs/>
    </w:rPr>
  </w:style>
  <w:style w:type="character" w:styleId="901">
    <w:name w:val="Subtle Reference"/>
    <w:basedOn w:val="8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2">
    <w:name w:val="Book Title"/>
    <w:basedOn w:val="8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3">
    <w:name w:val="Header"/>
    <w:basedOn w:val="928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Header Char"/>
    <w:basedOn w:val="878"/>
    <w:link w:val="903"/>
    <w:uiPriority w:val="99"/>
    <w:pPr>
      <w:pBdr/>
      <w:spacing/>
      <w:ind/>
    </w:pPr>
  </w:style>
  <w:style w:type="paragraph" w:styleId="905">
    <w:name w:val="Footer"/>
    <w:basedOn w:val="928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Footer Char"/>
    <w:basedOn w:val="878"/>
    <w:link w:val="905"/>
    <w:uiPriority w:val="99"/>
    <w:pPr>
      <w:pBdr/>
      <w:spacing/>
      <w:ind/>
    </w:pPr>
  </w:style>
  <w:style w:type="paragraph" w:styleId="907">
    <w:name w:val="Caption"/>
    <w:basedOn w:val="928"/>
    <w:next w:val="9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8">
    <w:name w:val="footnote text"/>
    <w:basedOn w:val="928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basedOn w:val="878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foot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basedOn w:val="928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basedOn w:val="878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end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character" w:styleId="914">
    <w:name w:val="Hyperlink"/>
    <w:basedOn w:val="8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5">
    <w:name w:val="FollowedHyperlink"/>
    <w:basedOn w:val="8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6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17">
    <w:name w:val="toc 2"/>
    <w:basedOn w:val="928"/>
    <w:next w:val="928"/>
    <w:uiPriority w:val="39"/>
    <w:unhideWhenUsed/>
    <w:pPr>
      <w:pBdr/>
      <w:spacing w:after="100"/>
      <w:ind w:left="220"/>
    </w:pPr>
  </w:style>
  <w:style w:type="paragraph" w:styleId="918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19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0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1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2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3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4">
    <w:name w:val="toc 9"/>
    <w:basedOn w:val="928"/>
    <w:next w:val="928"/>
    <w:uiPriority w:val="39"/>
    <w:unhideWhenUsed/>
    <w:pPr>
      <w:pBdr/>
      <w:spacing w:after="100"/>
      <w:ind w:left="1760"/>
    </w:pPr>
  </w:style>
  <w:style w:type="character" w:styleId="925">
    <w:name w:val="Placeholder Text"/>
    <w:basedOn w:val="878"/>
    <w:uiPriority w:val="99"/>
    <w:semiHidden/>
    <w:pPr>
      <w:pBdr/>
      <w:spacing/>
      <w:ind/>
    </w:pPr>
    <w:rPr>
      <w:color w:val="666666"/>
    </w:r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qFormat/>
    <w:pPr>
      <w:pBdr/>
      <w:spacing/>
      <w:ind/>
    </w:pPr>
  </w:style>
  <w:style w:type="table" w:styleId="9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0" w:default="1">
    <w:name w:val="No List"/>
    <w:uiPriority w:val="99"/>
    <w:semiHidden/>
    <w:unhideWhenUsed/>
    <w:pPr>
      <w:pBdr/>
      <w:spacing/>
      <w:ind/>
    </w:pPr>
  </w:style>
  <w:style w:type="paragraph" w:styleId="931">
    <w:name w:val="No Spacing"/>
    <w:basedOn w:val="928"/>
    <w:uiPriority w:val="1"/>
    <w:qFormat/>
    <w:pPr>
      <w:pBdr/>
      <w:spacing w:after="0" w:line="240" w:lineRule="auto"/>
      <w:ind/>
    </w:pPr>
  </w:style>
  <w:style w:type="paragraph" w:styleId="932">
    <w:name w:val="List Paragraph"/>
    <w:basedOn w:val="928"/>
    <w:uiPriority w:val="34"/>
    <w:qFormat/>
    <w:pPr>
      <w:pBdr/>
      <w:spacing/>
      <w:ind w:left="720"/>
      <w:contextualSpacing w:val="true"/>
    </w:pPr>
  </w:style>
  <w:style w:type="paragraph" w:styleId="933" w:customStyle="1">
    <w:name w:val="Заголовок гост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200" w:afterAutospacing="0" w:before="30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vanish w:val="0"/>
      <w:color w:val="000000" w:themeColor="text1"/>
      <w:spacing w:val="0"/>
      <w:position w:val="0"/>
      <w:sz w:val="36"/>
      <w:szCs w:val="32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_624" w:customStyle="1">
    <w:name w:val="ГОСТ"/>
    <w:basedOn w:val="82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 w:themeColor="text1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hyperlink" Target="https://spec.openapis.org/oas/v3.1.0.html" TargetMode="External"/><Relationship Id="rId13" Type="http://schemas.openxmlformats.org/officeDocument/2006/relationships/hyperlink" Target="https://www.asyncapi.com/docs/specifications/v2.6.0" TargetMode="External"/><Relationship Id="rId14" Type="http://schemas.openxmlformats.org/officeDocument/2006/relationships/hyperlink" Target="https://martinfowler.com/eaaCatalog/" TargetMode="External"/><Relationship Id="rId15" Type="http://schemas.openxmlformats.org/officeDocument/2006/relationships/hyperlink" Target="https://github.com/Eventuous/eventuous" TargetMode="External"/><Relationship Id="rId16" Type="http://schemas.openxmlformats.org/officeDocument/2006/relationships/hyperlink" Target="https://github.com/oapi-codegen/oapi-codegen" TargetMode="External"/><Relationship Id="rId17" Type="http://schemas.openxmlformats.org/officeDocument/2006/relationships/hyperlink" Target="https://github.com/stoplightio/spectral" TargetMode="External"/><Relationship Id="rId18" Type="http://schemas.openxmlformats.org/officeDocument/2006/relationships/hyperlink" Target="https://github.com/go-openapi" TargetMode="External"/><Relationship Id="rId19" Type="http://schemas.openxmlformats.org/officeDocument/2006/relationships/hyperlink" Target="https://github.com/gofiber/fiber" TargetMode="External"/><Relationship Id="rId20" Type="http://schemas.openxmlformats.org/officeDocument/2006/relationships/hyperlink" Target="https://github.com/json-iterator/go" TargetMode="External"/><Relationship Id="rId21" Type="http://schemas.openxmlformats.org/officeDocument/2006/relationships/hyperlink" Target="https://gopkg.in/yaml.v3" TargetMode="External"/><Relationship Id="rId22" Type="http://schemas.openxmlformats.org/officeDocument/2006/relationships/hyperlink" Target="https://ddd-crew.github.io/" TargetMode="External"/><Relationship Id="rId23" Type="http://schemas.openxmlformats.org/officeDocument/2006/relationships/hyperlink" Target="https://microservices.io/patterns/data/event-sourcing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25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Table Grid"/>
    <w:basedOn w:val="14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Table Grid Light"/>
    <w:basedOn w:val="14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Plain Table 1"/>
    <w:basedOn w:val="14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Plain Table 2"/>
    <w:basedOn w:val="14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Plain Table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Plain Table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Plain Table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1 Light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1 Light - Accent 1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1 Light - Accent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1 Light - Accent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1 Light - Accent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1 Light - Accent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1 Light - Accent 6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2 - Accent 1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2 - Accent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2 - Accent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2 - Accent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2 - Accent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2 - Accent 6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3 - Accent 1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3 - Accent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3 - Accent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3 - Accent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3 - Accent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3 - Accent 6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4"/>
    <w:basedOn w:val="14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4 - Accent 1"/>
    <w:basedOn w:val="14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4 - Accent 2"/>
    <w:basedOn w:val="14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4 - Accent 3"/>
    <w:basedOn w:val="14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4 - Accent 4"/>
    <w:basedOn w:val="14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4 - Accent 5"/>
    <w:basedOn w:val="14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4 - Accent 6"/>
    <w:basedOn w:val="14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5 Dark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5 Dark- Accent 1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5 Dark - Accent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5 Dark - Accent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5 Dark- Accent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5 Dark - Accent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5 Dark - Accent 6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6 Colorful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6 Colorful - Accent 1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6 Colorful - Accent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6 Colorful - Accent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6 Colorful - Accent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6 Colorful - Accent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6 Colorful - Accent 6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7 Colorful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7 Colorful - Accent 1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7 Colorful - Accent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7 Colorful - Accent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7 Colorful - Accent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7 Colorful - Accent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7 Colorful - Accent 6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1 Light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1 Light - Accent 1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1 Light - Accent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1 Light - Accent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1 Light - Accent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1 Light - Accent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1 Light - Accent 6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2 - Accent 1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2 - Accent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2 - Accent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2 - Accent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2 - Accent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2 - Accent 6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3 - Accent 1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3 - Accent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3 - Accent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3 - Accent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3 - Accent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3 - Accent 6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4 - Accent 1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4 - Accent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4 - Accent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4 - Accent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4 - Accent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4 - Accent 6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5 Dark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5 Dark - Accent 1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5 Dark - Accent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5 Dark - Accent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5 Dark - Accent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5 Dark - Accent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5 Dark - Accent 6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6 Colorful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6 Colorful - Accent 1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6 Colorful - Accent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6 Colorful - Accent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6 Colorful - Accent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6 Colorful - Accent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6 Colorful - Accent 6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7 Colorful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7 Colorful - Accent 1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7 Colorful - Accent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7 Colorful - Accent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7 Colorful - Accent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7 Colorful - Accent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7 Colorful - Accent 6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ned - Accent"/>
    <w:basedOn w:val="14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ned - Accent 1"/>
    <w:basedOn w:val="14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ned - Accent 2"/>
    <w:basedOn w:val="14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ned - Accent 3"/>
    <w:basedOn w:val="14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ned - Accent 4"/>
    <w:basedOn w:val="14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ned - Accent 5"/>
    <w:basedOn w:val="14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ned - Accent 6"/>
    <w:basedOn w:val="14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Bordered &amp; Lined - Accent"/>
    <w:basedOn w:val="14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Bordered &amp; Lined - Accent 1"/>
    <w:basedOn w:val="14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Bordered &amp; Lined - Accent 2"/>
    <w:basedOn w:val="14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Bordered &amp; Lined - Accent 3"/>
    <w:basedOn w:val="14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Bordered &amp; Lined - Accent 4"/>
    <w:basedOn w:val="14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Bordered &amp; Lined - Accent 5"/>
    <w:basedOn w:val="14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Bordered &amp; Lined - Accent 6"/>
    <w:basedOn w:val="14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Bordered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Bordered - Accent 1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Bordered - Accent 2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Bordered - Accent 3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 - Accent 4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Bordered - Accent 5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 - Accent 6"/>
    <w:basedOn w:val="14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27" w:default="1">
    <w:name w:val="Normal"/>
    <w:qFormat/>
    <w:pPr>
      <w:pBdr/>
      <w:spacing/>
      <w:ind/>
    </w:pPr>
  </w:style>
  <w:style w:type="paragraph" w:styleId="1528">
    <w:name w:val="Heading 1"/>
    <w:basedOn w:val="1527"/>
    <w:next w:val="1527"/>
    <w:link w:val="15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29">
    <w:name w:val="Heading 2"/>
    <w:basedOn w:val="1527"/>
    <w:next w:val="1527"/>
    <w:link w:val="15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30">
    <w:name w:val="Heading 3"/>
    <w:basedOn w:val="1527"/>
    <w:next w:val="1527"/>
    <w:link w:val="15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31">
    <w:name w:val="Heading 4"/>
    <w:basedOn w:val="1527"/>
    <w:next w:val="1527"/>
    <w:link w:val="15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32">
    <w:name w:val="Heading 5"/>
    <w:basedOn w:val="1527"/>
    <w:next w:val="1527"/>
    <w:link w:val="15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33">
    <w:name w:val="Heading 6"/>
    <w:basedOn w:val="1527"/>
    <w:next w:val="1527"/>
    <w:link w:val="15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34">
    <w:name w:val="Heading 7"/>
    <w:basedOn w:val="1527"/>
    <w:next w:val="1527"/>
    <w:link w:val="15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35">
    <w:name w:val="Heading 8"/>
    <w:basedOn w:val="1527"/>
    <w:next w:val="1527"/>
    <w:link w:val="15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36">
    <w:name w:val="Heading 9"/>
    <w:basedOn w:val="1527"/>
    <w:next w:val="1527"/>
    <w:link w:val="15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7" w:default="1">
    <w:name w:val="Default Paragraph Font"/>
    <w:uiPriority w:val="1"/>
    <w:semiHidden/>
    <w:unhideWhenUsed/>
    <w:pPr>
      <w:pBdr/>
      <w:spacing/>
      <w:ind/>
    </w:pPr>
  </w:style>
  <w:style w:type="numbering" w:styleId="1538" w:default="1">
    <w:name w:val="No List"/>
    <w:uiPriority w:val="99"/>
    <w:semiHidden/>
    <w:unhideWhenUsed/>
    <w:pPr>
      <w:pBdr/>
      <w:spacing/>
      <w:ind/>
    </w:pPr>
  </w:style>
  <w:style w:type="character" w:styleId="1539">
    <w:name w:val="Heading 1 Char"/>
    <w:basedOn w:val="1537"/>
    <w:link w:val="15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40">
    <w:name w:val="Heading 2 Char"/>
    <w:basedOn w:val="1537"/>
    <w:link w:val="15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41">
    <w:name w:val="Heading 3 Char"/>
    <w:basedOn w:val="1537"/>
    <w:link w:val="15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42">
    <w:name w:val="Heading 4 Char"/>
    <w:basedOn w:val="1537"/>
    <w:link w:val="15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3">
    <w:name w:val="Heading 5 Char"/>
    <w:basedOn w:val="1537"/>
    <w:link w:val="15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4">
    <w:name w:val="Heading 6 Char"/>
    <w:basedOn w:val="1537"/>
    <w:link w:val="15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45">
    <w:name w:val="Heading 7 Char"/>
    <w:basedOn w:val="1537"/>
    <w:link w:val="15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46">
    <w:name w:val="Heading 8 Char"/>
    <w:basedOn w:val="1537"/>
    <w:link w:val="15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47">
    <w:name w:val="Heading 9 Char"/>
    <w:basedOn w:val="1537"/>
    <w:link w:val="15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48">
    <w:name w:val="Title"/>
    <w:basedOn w:val="1527"/>
    <w:next w:val="1527"/>
    <w:link w:val="15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49">
    <w:name w:val="Title Char"/>
    <w:basedOn w:val="1537"/>
    <w:link w:val="15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50">
    <w:name w:val="Subtitle"/>
    <w:basedOn w:val="1527"/>
    <w:next w:val="1527"/>
    <w:link w:val="15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51">
    <w:name w:val="Subtitle Char"/>
    <w:basedOn w:val="1537"/>
    <w:link w:val="15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52">
    <w:name w:val="Quote"/>
    <w:basedOn w:val="1527"/>
    <w:next w:val="1527"/>
    <w:link w:val="15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53">
    <w:name w:val="Quote Char"/>
    <w:basedOn w:val="1537"/>
    <w:link w:val="15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54">
    <w:name w:val="List Paragraph"/>
    <w:basedOn w:val="1527"/>
    <w:uiPriority w:val="34"/>
    <w:qFormat/>
    <w:pPr>
      <w:pBdr/>
      <w:spacing/>
      <w:ind w:left="720"/>
      <w:contextualSpacing w:val="true"/>
    </w:pPr>
  </w:style>
  <w:style w:type="character" w:styleId="1555">
    <w:name w:val="Intense Emphasis"/>
    <w:basedOn w:val="15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56">
    <w:name w:val="Intense Quote"/>
    <w:basedOn w:val="1527"/>
    <w:next w:val="1527"/>
    <w:link w:val="15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57">
    <w:name w:val="Intense Quote Char"/>
    <w:basedOn w:val="1537"/>
    <w:link w:val="15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58">
    <w:name w:val="Intense Reference"/>
    <w:basedOn w:val="15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59">
    <w:name w:val="No Spacing"/>
    <w:basedOn w:val="1527"/>
    <w:uiPriority w:val="1"/>
    <w:qFormat/>
    <w:pPr>
      <w:pBdr/>
      <w:spacing w:after="0" w:line="240" w:lineRule="auto"/>
      <w:ind/>
    </w:pPr>
  </w:style>
  <w:style w:type="character" w:styleId="1560">
    <w:name w:val="Subtle Emphasis"/>
    <w:basedOn w:val="15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61">
    <w:name w:val="Emphasis"/>
    <w:basedOn w:val="1537"/>
    <w:uiPriority w:val="20"/>
    <w:qFormat/>
    <w:pPr>
      <w:pBdr/>
      <w:spacing/>
      <w:ind/>
    </w:pPr>
    <w:rPr>
      <w:i/>
      <w:iCs/>
    </w:rPr>
  </w:style>
  <w:style w:type="character" w:styleId="1562">
    <w:name w:val="Strong"/>
    <w:basedOn w:val="1537"/>
    <w:uiPriority w:val="22"/>
    <w:qFormat/>
    <w:pPr>
      <w:pBdr/>
      <w:spacing/>
      <w:ind/>
    </w:pPr>
    <w:rPr>
      <w:b/>
      <w:bCs/>
    </w:rPr>
  </w:style>
  <w:style w:type="character" w:styleId="1563">
    <w:name w:val="Subtle Reference"/>
    <w:basedOn w:val="15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64">
    <w:name w:val="Book Title"/>
    <w:basedOn w:val="15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65">
    <w:name w:val="Header"/>
    <w:basedOn w:val="1527"/>
    <w:link w:val="15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66">
    <w:name w:val="Header Char"/>
    <w:basedOn w:val="1537"/>
    <w:link w:val="1565"/>
    <w:uiPriority w:val="99"/>
    <w:pPr>
      <w:pBdr/>
      <w:spacing/>
      <w:ind/>
    </w:pPr>
  </w:style>
  <w:style w:type="paragraph" w:styleId="1567">
    <w:name w:val="Footer"/>
    <w:basedOn w:val="1527"/>
    <w:link w:val="15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68">
    <w:name w:val="Footer Char"/>
    <w:basedOn w:val="1537"/>
    <w:link w:val="1567"/>
    <w:uiPriority w:val="99"/>
    <w:pPr>
      <w:pBdr/>
      <w:spacing/>
      <w:ind/>
    </w:pPr>
  </w:style>
  <w:style w:type="paragraph" w:styleId="1569">
    <w:name w:val="Caption"/>
    <w:basedOn w:val="1527"/>
    <w:next w:val="15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70">
    <w:name w:val="footnote text"/>
    <w:basedOn w:val="1527"/>
    <w:link w:val="15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71">
    <w:name w:val="Footnote Text Char"/>
    <w:basedOn w:val="1537"/>
    <w:link w:val="1570"/>
    <w:uiPriority w:val="99"/>
    <w:semiHidden/>
    <w:pPr>
      <w:pBdr/>
      <w:spacing/>
      <w:ind/>
    </w:pPr>
    <w:rPr>
      <w:sz w:val="20"/>
      <w:szCs w:val="20"/>
    </w:rPr>
  </w:style>
  <w:style w:type="character" w:styleId="1572">
    <w:name w:val="footnote reference"/>
    <w:basedOn w:val="1537"/>
    <w:uiPriority w:val="99"/>
    <w:semiHidden/>
    <w:unhideWhenUsed/>
    <w:pPr>
      <w:pBdr/>
      <w:spacing/>
      <w:ind/>
    </w:pPr>
    <w:rPr>
      <w:vertAlign w:val="superscript"/>
    </w:rPr>
  </w:style>
  <w:style w:type="paragraph" w:styleId="1573">
    <w:name w:val="endnote text"/>
    <w:basedOn w:val="1527"/>
    <w:link w:val="15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74">
    <w:name w:val="Endnote Text Char"/>
    <w:basedOn w:val="1537"/>
    <w:link w:val="1573"/>
    <w:uiPriority w:val="99"/>
    <w:semiHidden/>
    <w:pPr>
      <w:pBdr/>
      <w:spacing/>
      <w:ind/>
    </w:pPr>
    <w:rPr>
      <w:sz w:val="20"/>
      <w:szCs w:val="20"/>
    </w:rPr>
  </w:style>
  <w:style w:type="character" w:styleId="1575">
    <w:name w:val="endnote reference"/>
    <w:basedOn w:val="1537"/>
    <w:uiPriority w:val="99"/>
    <w:semiHidden/>
    <w:unhideWhenUsed/>
    <w:pPr>
      <w:pBdr/>
      <w:spacing/>
      <w:ind/>
    </w:pPr>
    <w:rPr>
      <w:vertAlign w:val="superscript"/>
    </w:rPr>
  </w:style>
  <w:style w:type="character" w:styleId="1576">
    <w:name w:val="Hyperlink"/>
    <w:basedOn w:val="15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77">
    <w:name w:val="FollowedHyperlink"/>
    <w:basedOn w:val="15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78">
    <w:name w:val="toc 1"/>
    <w:basedOn w:val="1527"/>
    <w:next w:val="1527"/>
    <w:uiPriority w:val="39"/>
    <w:unhideWhenUsed/>
    <w:pPr>
      <w:pBdr/>
      <w:spacing w:after="100"/>
      <w:ind/>
    </w:pPr>
  </w:style>
  <w:style w:type="paragraph" w:styleId="1579">
    <w:name w:val="toc 2"/>
    <w:basedOn w:val="1527"/>
    <w:next w:val="1527"/>
    <w:uiPriority w:val="39"/>
    <w:unhideWhenUsed/>
    <w:pPr>
      <w:pBdr/>
      <w:spacing w:after="100"/>
      <w:ind w:left="220"/>
    </w:pPr>
  </w:style>
  <w:style w:type="paragraph" w:styleId="1580">
    <w:name w:val="toc 3"/>
    <w:basedOn w:val="1527"/>
    <w:next w:val="1527"/>
    <w:uiPriority w:val="39"/>
    <w:unhideWhenUsed/>
    <w:pPr>
      <w:pBdr/>
      <w:spacing w:after="100"/>
      <w:ind w:left="440"/>
    </w:pPr>
  </w:style>
  <w:style w:type="paragraph" w:styleId="1581">
    <w:name w:val="toc 4"/>
    <w:basedOn w:val="1527"/>
    <w:next w:val="1527"/>
    <w:uiPriority w:val="39"/>
    <w:unhideWhenUsed/>
    <w:pPr>
      <w:pBdr/>
      <w:spacing w:after="100"/>
      <w:ind w:left="660"/>
    </w:pPr>
  </w:style>
  <w:style w:type="paragraph" w:styleId="1582">
    <w:name w:val="toc 5"/>
    <w:basedOn w:val="1527"/>
    <w:next w:val="1527"/>
    <w:uiPriority w:val="39"/>
    <w:unhideWhenUsed/>
    <w:pPr>
      <w:pBdr/>
      <w:spacing w:after="100"/>
      <w:ind w:left="880"/>
    </w:pPr>
  </w:style>
  <w:style w:type="paragraph" w:styleId="1583">
    <w:name w:val="toc 6"/>
    <w:basedOn w:val="1527"/>
    <w:next w:val="1527"/>
    <w:uiPriority w:val="39"/>
    <w:unhideWhenUsed/>
    <w:pPr>
      <w:pBdr/>
      <w:spacing w:after="100"/>
      <w:ind w:left="1100"/>
    </w:pPr>
  </w:style>
  <w:style w:type="paragraph" w:styleId="1584">
    <w:name w:val="toc 7"/>
    <w:basedOn w:val="1527"/>
    <w:next w:val="1527"/>
    <w:uiPriority w:val="39"/>
    <w:unhideWhenUsed/>
    <w:pPr>
      <w:pBdr/>
      <w:spacing w:after="100"/>
      <w:ind w:left="1320"/>
    </w:pPr>
  </w:style>
  <w:style w:type="paragraph" w:styleId="1585">
    <w:name w:val="toc 8"/>
    <w:basedOn w:val="1527"/>
    <w:next w:val="1527"/>
    <w:uiPriority w:val="39"/>
    <w:unhideWhenUsed/>
    <w:pPr>
      <w:pBdr/>
      <w:spacing w:after="100"/>
      <w:ind w:left="1540"/>
    </w:pPr>
  </w:style>
  <w:style w:type="paragraph" w:styleId="1586">
    <w:name w:val="toc 9"/>
    <w:basedOn w:val="1527"/>
    <w:next w:val="1527"/>
    <w:uiPriority w:val="39"/>
    <w:unhideWhenUsed/>
    <w:pPr>
      <w:pBdr/>
      <w:spacing w:after="100"/>
      <w:ind w:left="1760"/>
    </w:pPr>
  </w:style>
  <w:style w:type="character" w:styleId="1587">
    <w:name w:val="Placeholder Text"/>
    <w:basedOn w:val="1537"/>
    <w:uiPriority w:val="99"/>
    <w:semiHidden/>
    <w:pPr>
      <w:pBdr/>
      <w:spacing/>
      <w:ind/>
    </w:pPr>
    <w:rPr>
      <w:color w:val="666666"/>
    </w:rPr>
  </w:style>
  <w:style w:type="paragraph" w:styleId="1588">
    <w:name w:val="TOC Heading"/>
    <w:uiPriority w:val="39"/>
    <w:unhideWhenUsed/>
    <w:pPr>
      <w:pBdr/>
      <w:spacing/>
      <w:ind/>
    </w:pPr>
  </w:style>
  <w:style w:type="paragraph" w:styleId="1589">
    <w:name w:val="table of figures"/>
    <w:basedOn w:val="1527"/>
    <w:next w:val="1527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2025-12-15T01:54:03Z</dcterms:modified>
</cp:coreProperties>
</file>