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7do1j5t3d49" w:id="0"/>
      <w:bookmarkEnd w:id="0"/>
      <w:r w:rsidDel="00000000" w:rsidR="00000000" w:rsidRPr="00000000">
        <w:rPr>
          <w:rtl w:val="0"/>
        </w:rPr>
        <w:t xml:space="preserve">АННОТАЦИЯ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Выпускная квалификационная работа посвящена созданию платформы по геймификации студенческой активности на основе стартапа «CodHammer». Объектом исследования является внеучебная активность и профессиональное развитие студентов. Предметом исследования выступает информационная система для учета и геймификации студенческой активности студентов.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 работы заключается в разработке платформы CodHammer для повышения вовлеченности студентов и формирования цифрового паспорта достижений. Для получения желаемого результата приложение должно вести учет достижений студентов, предоставлять возможность опубликовать организации мероприятие, а работодателю просмотреть soft и hard skills навыки учащегося в вузе. Последним действием для подтверждения практической значимости стоит обосновать экономическую целесообразность внедрения.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bookmarkStart w:colFirst="0" w:colLast="0" w:name="_s5o0an3y0lvw" w:id="1"/>
      <w:bookmarkEnd w:id="1"/>
      <w:r w:rsidDel="00000000" w:rsidR="00000000" w:rsidRPr="00000000">
        <w:rPr>
          <w:sz w:val="28"/>
          <w:szCs w:val="28"/>
          <w:rtl w:val="0"/>
        </w:rPr>
        <w:t xml:space="preserve">В работе использованы методы системного анализа предметной области, объектно-ориентированного проектирования программного обеспечения, моделирования бизнес-процессов в нотации BPMN, а также методы финансового анализа для оценки инвестиционной привлекательности проекта.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результате исследования проведен комплексный анализ рынка образовательных технологий и конкурентной среды, выявлены ключевые проблемы низкой вовлеченности студентов во внеучебную деятельность. Спроектирована архитектура информационной системы, включающая серверную часть на языке программирования Go, мобильное приложение на фреймворке Flutter и реляционную базу данных PostgreSQL. Разработаны функциональные требования, смоделированы процессы аутентификации пользователей, прохождения опросов и обмена баллов на награды. Создан минимально жизнеспособный продукт с реализацией ключевых модулей: календаря событий, системы опросов, игрового магазина и личного кабинета пользователя. Выполнено экономическое обоснование проекта: рассчитана точка безубыточности, построены сценарии развития бизнеса, оценены риски и инвестиционная привлекательность стартапа.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Работа состоит из введения, пяти глав, заключения и списка использованных источников. Объем работы составляет 49 страниц, включает 5 рисунков и 22 таблицы. Библиографический список содержит 25 источников, среди которых законодательные акты Российской Федерации, научные публикации в области педагогики и информационных технологий, а также отраслевая аналитика рынка труда и образовательных сервисов. 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СОДЕРЖАНИЕ</w:t>
      </w:r>
    </w:p>
    <w:sdt>
      <w:sdtPr>
        <w:id w:val="-1260378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m7do1j5t3d4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АННОТАЦИЯ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h06xfm9wdi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ИСПОЛЬЗУЕМЫХ СОКРАЩЕНИЙ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6csstwgy2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7a6d2kz2ti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1. АНАЛИТИЧЕСКИЙ РАЗДЕЛ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y4w6qv7y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Описание идеи проекта и анализ предметной области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e90vcrrgx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Анализ рынка и конкурентной среды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2lmjfe2ohy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Требования к информационной системе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2ma5luxoz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2. БИЗНЕС-ПЛАН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3azqmocum3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Общее описание проекта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dhvzqbb4jn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Актуальность и проблема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swzzesbm4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Концепция продукта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vn7fnhhjc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Анализ рынка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k373k639bg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 Объем рынка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bg04ha22fo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2.5.2 Целевая аудитория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yen8dciioe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2.5.3 Анализ конкурентной среды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ox180kgrv6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2.5.4 Стратегическое преимущество CodHammer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aayk0us97m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Бизнес-модель и монетизация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2m84040oj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Экономика и точка безубыточности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xues02n3ty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2.7.1 Структура расходов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f5ozh52fk5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2.7.2 Расчет точки безубыточности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goz4gjf5d0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2.7.3 Финансовые сценарии развития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4qjvgi7alj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Стратегия продвижения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hp82zh4q0v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2.8.1 Модель диффузии инноваций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ry2up4f0vj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2.8.2 Воронка продаж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40wnuscw1l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Дорожная карта проекта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a1o2rmsb9p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2.9.1 Стратегическая дорожная карта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h0deo170dt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2.9.2 Техническая дорожная карта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slmru1foi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2.9.3 Маркетинговая дорожная карта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5jbrj3ibkk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 Продуктовая линейка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9nm7e1ciej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2.11 Стратегия масштабирования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bvccdf04m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3. Проектирование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vc7o3x20n3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Общая часть: моделирование бизнес-процессов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gbdzc7k8y7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Модель AS-IS (существующее состояние)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is2y6wx5j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Модель TO-BE (целевое состояние)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5qlarptclz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 Описание индивидуального вклада участников команды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p288wa5adc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Индивидуальная часть: детализация подпроцессов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sedw2makmb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 Архитектура компонентов системы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d37cwxmpgf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 ERD-диаграмма базы данных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esritzavr0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 Детализация подпроцессов по зоне ответственности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h34cir57yo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4. Реализация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2flqsax79u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Выбор технологического стека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e4np78j34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 Обоснование выбора технологий для Frontend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acc3k5otv0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Описание UI/UX дизайна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algn9tep7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 Принципы проектирования интерфейса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7law28chkw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 Структура навигации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kmuk0o24tq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4.2.3 Цветовая схема и типографика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19junnypoj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4.2.4 Ключевые экраны приложения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tmxp56xbbg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Описание процесса разработки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5w3psaif0t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4.3.1 Этапы разработки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7mhkh4q91g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ГЛАВА 5. Экономическое обоснование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2easjez9w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Исходные допущения и методологические основы моделирования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9nb1ns41e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Структура затрат и анализ операционного рычага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83fukez1fz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Архитектура потоков доходов и рыночное позиционирование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gvlab9tb40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Расчёт точки безубыточности и анализ чувствительности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6wx7jxgx2z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Сценарный анализ и оценка финансовых рисков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wh9zuiu8gq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Интегральная оценка экономической целесообразности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8fp1yiuh0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spacing w:after="160" w:line="259" w:lineRule="auto"/>
        <w:rPr>
          <w:b w:val="1"/>
          <w:bCs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mh06xfm9wdic" w:id="2"/>
      <w:bookmarkEnd w:id="2"/>
      <w:r w:rsidDel="00000000" w:rsidR="00000000" w:rsidRPr="00000000">
        <w:rPr>
          <w:rtl w:val="0"/>
        </w:rPr>
        <w:t xml:space="preserve">СПИСОК ИСПОЛЬЗУЕМЫХ СОКРАЩЕНИЙ</w:t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EdTech – Education Technology, образовательные технологии</w:t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LMS – Learning Management System, система управления обучением</w:t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GP – Gamification Platform, игровая платформа</w:t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XP – Experience Points, очки опыта</w:t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UX/UI – User Experience / User Interface, пользовательский опыт / интерфейс</w:t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HCI – Human-Computer Interaction, взаимодействие человек-компьютер</w:t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UML – Unified Modeling Language, унифицированный язык моделирования</w:t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SDK – Software Development Kit, комплект средств разработки</w:t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 – Integrated Development Environment, интегрированная среда разработки</w:t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 – Application Programming Interface, программный интерфейс приложения</w:t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JWT – JSON Web Token, веб-токен формата JSON</w:t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ORM – Object-Relational Mapping, объектно-реляционное отображение</w:t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DTO – Data Transfer Object, объект передачи данных</w:t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DAO – Data Access Object, объект доступа к данным</w:t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MVVM – Model-View-ViewModel, модель-представление-модель представления</w:t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BLoC – Business Logic Component, компонент бизнес-логики</w:t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CI/CD – Continuous Integration / Continuous Deployment, непрерывная интеграция и развертывание</w:t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RBAC – Role-Based Access Control, управление доступом на основе ролей</w:t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SPA – Single Page Application, одностраничное приложение</w:t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CRUD – Create, Read, Update, Delete, создание, чтение, обновление, удаление</w:t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ACID – Atomicity, Consistency, Isolation, Durability, атомарность, согласованность, изолированность, долговечность</w:t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MVP – Minimum Viable Product, минимально жизнеспособный продукт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ph6csstwgy2b" w:id="3"/>
      <w:bookmarkEnd w:id="3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5B">
      <w:pPr>
        <w:spacing w:after="0"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 современных технических вузах, таких как МИРЭА, наблюдается проблема низкой вовлеченности студентов во внеучебную деятельность. Несмотря на обилие мероприятий, отсутствует единая цифровая система мотивации, которая бы позволяла студентам отслеживать свои достижения и получать за них вознаграждение. Это приводит к тому, что студенты теряют возможность развивать практические навыки ("soft skills" и "hard skills"), формировать портфолио и налаживать профессиональные связи еще во время учебы, что в дальнейшем усложняет поиск первой работы и стажировки.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Проект "CodHammer" представляет собой инновационную цифровую платформу, созданную для решения этой проблемы. Его цель — повысить вовлеченность студентов в университетскую жизнь через удобный геймифицированный инструмент, который преобразует их активность в измеримый капитал. Платформа позиционируется как "цифровой паспорт" студенческой активности, который можно предъявить работодателю, ментору или при подаче на грант.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y7a6d2kz2tit" w:id="4"/>
      <w:bookmarkEnd w:id="4"/>
      <w:r w:rsidDel="00000000" w:rsidR="00000000" w:rsidRPr="00000000">
        <w:rPr>
          <w:rtl w:val="0"/>
        </w:rPr>
        <w:t xml:space="preserve">ГЛАВА 1. АНАЛИТИЧЕСКИЙ РАЗДЕЛ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5cy4w6qv7y0" w:id="5"/>
      <w:bookmarkEnd w:id="5"/>
      <w:r w:rsidDel="00000000" w:rsidR="00000000" w:rsidRPr="00000000">
        <w:rPr>
          <w:rtl w:val="0"/>
        </w:rPr>
        <w:t xml:space="preserve">1.1 Описание идеи проекта и анализ предметной области</w:t>
      </w:r>
    </w:p>
    <w:p w:rsidR="00000000" w:rsidDel="00000000" w:rsidP="00000000" w:rsidRDefault="00000000" w:rsidRPr="00000000" w14:paraId="0000006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Основной вызов, который решает проект CodHammer, — это отсутствие у студентов четкой, системной платформы для развития профессиональных навыков и гарантии успешного трудоустройства после окончания вуза. Несмотря на активное участие в университетских и внешних мероприятиях, студенты сталкиваются с отсутствием мотивационных бонусов за активность, а информация о возможностях карьерного и личностного роста рассредоточена по разным университетским пабликам и ресурсам.</w:t>
      </w:r>
    </w:p>
    <w:p w:rsidR="00000000" w:rsidDel="00000000" w:rsidP="00000000" w:rsidRDefault="00000000" w:rsidRPr="00000000" w14:paraId="0000006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Согласно опросу Аналитического центра Университета «Синергия», 33% студентов не готовы к неоплачиваемым стажировкам, 67% согласны только в крупных компаниях временно, а 36% считают вузовской практики недостаточно и ищут дополнительные возможности самостоятельно. Исследование «Профразвитие» и ANCOR подтверждает: 28% компаний не оплачивают стажировки, только 45% имеют программы, а 82% студентов ищут их через Telegram.</w:t>
      </w:r>
    </w:p>
    <w:p w:rsidR="00000000" w:rsidDel="00000000" w:rsidP="00000000" w:rsidRDefault="00000000" w:rsidRPr="00000000" w14:paraId="0000006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CodHammer определяется пересечением двух важных тенденций современности: трансформацией рынка труда, где junior-специалисты в IT и других сферах требуют хорошего практического опыта и развитых soft skills, и изменением модели поведения студентов в цифровой среде, которые ищут мотивационные и прозрачные механизмы развития.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cle90vcrrgxt" w:id="6"/>
      <w:bookmarkEnd w:id="6"/>
      <w:r w:rsidDel="00000000" w:rsidR="00000000" w:rsidRPr="00000000">
        <w:rPr>
          <w:rtl w:val="0"/>
        </w:rPr>
        <w:t xml:space="preserve">1.2 Анализ рынка и конкурентной среды</w:t>
      </w:r>
    </w:p>
    <w:p w:rsidR="00000000" w:rsidDel="00000000" w:rsidP="00000000" w:rsidRDefault="00000000" w:rsidRPr="00000000" w14:paraId="0000006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Проведенный анализ российского рынка образовательных технологий демонстрирует высокую степень фрагментации, где существующие решения четко делятся на массовые образовательные платформы и узкоспециализированный административный софт, оставляя нишу студенческой вовлеченности практически пустой.</w:t>
      </w:r>
    </w:p>
    <w:p w:rsidR="00000000" w:rsidDel="00000000" w:rsidP="00000000" w:rsidRDefault="00000000" w:rsidRPr="00000000" w14:paraId="0000006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таблице 1.1 представлен анализ основных конкурентов на рынке.</w:t>
      </w:r>
    </w:p>
    <w:p w:rsidR="00000000" w:rsidDel="00000000" w:rsidP="00000000" w:rsidRDefault="00000000" w:rsidRPr="00000000" w14:paraId="0000006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1.1 – Анализ конкурентов</w:t>
      </w:r>
    </w:p>
    <w:tbl>
      <w:tblPr>
        <w:tblStyle w:val="Table1"/>
        <w:tblW w:w="93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7"/>
        <w:gridCol w:w="2289"/>
        <w:gridCol w:w="2296"/>
        <w:gridCol w:w="2247"/>
        <w:tblGridChange w:id="0">
          <w:tblGrid>
            <w:gridCol w:w="2517"/>
            <w:gridCol w:w="2289"/>
            <w:gridCol w:w="2296"/>
            <w:gridCol w:w="22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Категории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Представители на рынке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Основной функционал и фокус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Ключевой недостаток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Массовое онлайн-образование (EdTech)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Учи.ру, Skillbox, GeekBrains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Курсы, тренажеры, подготовка к экзаменам. Фокус на академических знаниях.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Работают по модели B2C (платная подписка), не интегрированы в жизнь конкретного вуза, не учитывают внеучебную активность.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Карьерные агрегаторы и стажировки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Changellenge, FutureToday, Факультетус, hh.ru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Кейс-чемпионаты, ярмарки вакансий, поиск работы. Связь с работодателями.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Являются внешними площадками. Студент заходит туда эпизодически. Нет геймификации и трекинга ежедневной активности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Геймификация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Квиз Лаб, Диакласс, Kahoot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Проведение опросов, викторин, тестов с начислением баллов в моменте.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Инструменты “одного дня”. Нет накопления прогресса, нет связи с карьерной, финансово неустойчивые модели.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Административное ПО для вузов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ООО “Компьютерные программы”, 1С:Университет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Учет успеваемости, расписание, приказы, работа деканата.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Устаревший интерфейс, отсутствие мобильности, полное игнорирование интересов и вовлеченности студента.</w:t>
            </w:r>
          </w:p>
        </w:tc>
      </w:tr>
    </w:tbl>
    <w:p w:rsidR="00000000" w:rsidDel="00000000" w:rsidP="00000000" w:rsidRDefault="00000000" w:rsidRPr="00000000" w14:paraId="0000007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Наиболее острая конкуренция за внимание студента разворачивается не столько в плоскости образовательных сервисов, сколько в сфере досуга и внешних карьерных возможностей. С одной стороны, существуют сильные игроки рынка стажировок, такие как Changellenge или Факультетус, которые эффективно агрегируют вакансии, но остаются внешними по отношению к повседневной жизни вуза. С другой стороны, серьезную угрозу представляют товары-субституты в виде индустрии развлечений, киберспорта и букмекерских платформ.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Стратегическое преимущество CodHammer заключается в реализации стратегии «Голубого океана», формируя свободную нишу на стыке EdTech, HR-Tech и индустрии развлечений. Проект заимствует механики удержания внимания из индустрии развлечений — рейтинги, достижения, магазин наград — но перенаправляет этот «дофаминовый ресурс» пользователей на созидательную деятельность и построение карьеры.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j2lmjfe2ohyr" w:id="7"/>
      <w:bookmarkEnd w:id="7"/>
      <w:r w:rsidDel="00000000" w:rsidR="00000000" w:rsidRPr="00000000">
        <w:rPr>
          <w:rtl w:val="0"/>
        </w:rPr>
        <w:t xml:space="preserve">1.3 Требования к информационной системе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 информационным системам различных предприятий должны предъявляться требования по информационной безопасности. Такие требования могут регулироваться нормативными документами в области защиты информации. Например, требования по обеспечению безопасности значимых объектов критической информационной инфраструктуры РФ сформированы в приказе ФСТЭК №239, а в приказе ФСТЭК №17 определены требования о защите информации, не составляющей государственную тайну.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платформы CodHammer выделены следующие функциональные требования: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− регистрация и авторизация пользователей через единую учетную запись университета (SSO); − ведение профиля студента с верифицированными достижениями; − система начисления и списания баллов (внутренняя валюта); − календарь мероприятий с возможностью регистрации; − модуль геймификации (опросы, предикты на киберспорт); − магазин наград (мерч, академические привилегии, карьерные бусты).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Нефункциональные требования включают высокую производительность серверной части, масштабируемость архитектуры и защиту персональных данных в соответствии с Федеральным законом № 152-ФЗ «О персональных данных».</w:t>
      </w:r>
    </w:p>
    <w:p w:rsidR="00000000" w:rsidDel="00000000" w:rsidP="00000000" w:rsidRDefault="00000000" w:rsidRPr="00000000" w14:paraId="00000082">
      <w:pPr>
        <w:spacing w:after="160" w:line="259" w:lineRule="auto"/>
        <w:rPr>
          <w:b w:val="1"/>
          <w:bCs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n2ma5luxozm" w:id="8"/>
      <w:bookmarkEnd w:id="8"/>
      <w:r w:rsidDel="00000000" w:rsidR="00000000" w:rsidRPr="00000000">
        <w:rPr>
          <w:rtl w:val="0"/>
        </w:rPr>
        <w:t xml:space="preserve">ГЛАВА 2. БИЗНЕС-ПЛАН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l3azqmocum34" w:id="9"/>
      <w:bookmarkEnd w:id="9"/>
      <w:r w:rsidDel="00000000" w:rsidR="00000000" w:rsidRPr="00000000">
        <w:rPr>
          <w:rtl w:val="0"/>
        </w:rPr>
        <w:t xml:space="preserve">2.1 Общее описание проекта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 «CodHammer» представляет собой инновационную цифровую платформу, созданную для решения проблемы низкой вовлеченности студентов технических вузов во внеучебную деятельность. В современных университетах, таких как РТУ МИРЭА, несмотря на обилие мероприятий, отсутствует единая цифровая система мотивации, которая позволяла бы студентам отслеживать свои достижения и получать за них вознаграждение. Это приводит к тому, что студенты теряют возможность развивать практические навыки (soft skills и hard skills), формировать портфолио и налаживать профессиональные связи еще во время учебы, что в дальнейшем усложняет поиск первой работы и стажировки.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 проекта — повысить вовлеченность студентов в университетскую жизнь через удобный геймифицированный инструмент, который преобразует их активность в измеримый капитал. Платформа позиционируется как «цифровой паспорт» студенческой активности, который можно предъявить работодателю, ментору или при подаче на грант.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задачи проекта: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единой цифровой экосистемы для учета внеучебной активности студентов.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Разработка системы геймификации с начислением баллов за участие в мероприятиях.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Интеграция с Центром карьеры вуза для предоставления стажировок и вакансий.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внутреннего магазина наград (мерч, академические привилегии, карьерные бусты).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Обеспечение верификации достижений для формирования достоверного портфолио.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vdhvzqbb4jnb" w:id="10"/>
      <w:bookmarkEnd w:id="10"/>
      <w:r w:rsidDel="00000000" w:rsidR="00000000" w:rsidRPr="00000000">
        <w:rPr>
          <w:rtl w:val="0"/>
        </w:rPr>
        <w:t xml:space="preserve">2.2 Актуальность и проблема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Основной вызов, который решает проект CodHammer, — это отсутствие у студентов четкой, системной платформы для развития профессиональных навыков и гарантии успешного трудоустройства после окончания вуза. Несмотря на активное участие в университетских и внешних мероприятиях, студенты сталкиваются с отсутствием мотивационных бонусов за активность, а информация о возможностях карьерного и личностного роста рассредоточена по разным университетским пабликам и ресурсам.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Согласно статистическим данным, лишь 26% студентов в России полностью удовлетворены качеством учебного процесса в вузах, при этом средняя оценка образования составляет около 3,6 балла из пяти. По данным сервиса HeadHunter, с января по апрель 2025 года россияне более 283 000 раз указали в резюме желание пройти или поиск стажировки — на 43% больше, чем за аналогичный период 2024 года. Явная тенденция интереса к стажировкам в IT наблюдается среди разработчиков (более 40 100 резюме) и дизайнеров (20 300 резюме), где IT занимает 20% всех запросов на стажировки.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Согласно опросу Аналитического центра Университета «Синергия», 33% студентов не готовы к неоплачиваемым стажировкам, 67% согласны только в крупных компаниях временно, а 36% считают вузовской практики недостаточно и ищут дополнительные возможности самостоятельно. Исследование «Профразвитие» и ANCOR подтверждает: 28% компаний не оплачивают стажировки, только 45% имеют программы, а 82% студентов ищут их через Telegram.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CodHammer определяется пересечением двух важных тенденций современности: трансформацией рынка труда, где junior-специалисты в IT и других сферах требуют хорошего практического опыта и развитых soft skills, и изменением модели поведения студентов в цифровой среде, которые ищут мотивационные и прозрачные механизмы развития.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1swzzesbm4g" w:id="11"/>
      <w:bookmarkEnd w:id="11"/>
      <w:r w:rsidDel="00000000" w:rsidR="00000000" w:rsidRPr="00000000">
        <w:rPr>
          <w:rtl w:val="0"/>
        </w:rPr>
        <w:t xml:space="preserve">2.3 Концепция продукта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CodHammer предлагает инновационную платформу для студентов, объединяющую вуз, работодателей и организаторов мероприятий. Через геймификацию стимулируется вовлеченность: за участие в хакатонах, волонтерских акциях и карьерных событиях студенты получают баллы, которые могут обменять на мерч, приоритетное участие в мероприятиях, консультации экспертов и автоматические зачеты. Платформа помогает студентам с нуля создавать доказанное портфолио и выстраивать карьерные планы, интегрируя разрозненные активности в единую систему мотивации.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Уникальное торговое предложение (УТП):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Фокус на 1% наиболее активных и влиятельных студентов, которые становятся амбассадорами продукта внутри вузов.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Стратегия запуска «от ядра к периферии» через студенческие объединения, научные общества и киберклубы обеспечивает высокий уровень доверия и минимизирует затраты на рекламу.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Глубокая интеграция в экосистему конкретного вуза (РТУ МИРЭА), что создает высокий барьер входа для конкурентов.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1mvn7fnhhjc5" w:id="12"/>
      <w:bookmarkEnd w:id="12"/>
      <w:r w:rsidDel="00000000" w:rsidR="00000000" w:rsidRPr="00000000">
        <w:rPr>
          <w:rtl w:val="0"/>
        </w:rPr>
        <w:t xml:space="preserve">2.5 Анализ рынка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mk373k639bgz" w:id="13"/>
      <w:bookmarkEnd w:id="13"/>
      <w:r w:rsidDel="00000000" w:rsidR="00000000" w:rsidRPr="00000000">
        <w:rPr>
          <w:rtl w:val="0"/>
        </w:rPr>
        <w:t xml:space="preserve">2.5.1 Объем рынка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оценки потенциала проекта был проведен анализ рынка по методологии TAM-SAM-SOM: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TAM (Общий адресуемый рынок): В 2024 году в московские вузы было принято 252 476 студентов. В Москве 159 вузов, 57 вузов с техническими специальностями.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 (Доступный объем рынка): 27 838 студентов РТУ МИРЭА, на которых проект фокусируется на начальном этапе.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SOM (Реально достижимый объем рынка): 200–300 наиболее активных студентов в первые годы работы, которые составляют ядро целевой аудитории.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6bg04ha22foa" w:id="14"/>
      <w:bookmarkEnd w:id="14"/>
      <w:r w:rsidDel="00000000" w:rsidR="00000000" w:rsidRPr="00000000">
        <w:rPr>
          <w:rtl w:val="0"/>
        </w:rPr>
        <w:t xml:space="preserve">2.5.2 Целевая аудитория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 ориентирован не на всех студентов, а на 1% наиболее вовлеченных: лидеров СНО, организаторов мероприятий, активистов Центра карьеры, членов технических клубов и победителей соревнований. Отбор происходит через существующие структуры вуза, что обеспечивает высокий уровень доверия.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Портрет сегмента B2C (студенты): Типовым представителем является «Алексей» — студент третьего курса Института перспективных технологий и индустриального программирования. Его основная мотивация — успешное трудоустройство по специальности сразу после окончания вуза. Главные проблемы — информационный хаос и отсутствие структурированного подхода к формированию портфолио. Он подписан на десятки университетских Telegram-каналов (82% студентов используют Telegram для поиска стажировок), VK-группы вузов и сообществ (59%), HeadHunter (58%) и ресурсы университета (42%), но из-за обилия информации часто пропускает анонсы важных лекций от IT-компаний и дедлайны регистрации на хакатоны.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Портрет сегмента B2B (партнеры-работодатели): Аватаром выступает «Екатерина» — HR-специалист крупной IT-компании. Ее главная задача — закрыть несколько вакансий для стажеров-разработчиков, найдя наиболее мотивированных и талантливых кандидатов. Стандартные рекрутинговые платформы предоставляют ей сотни резюме от студентов без практического опыта, отсев которых требует огромных временных затрат. CodHammer предлагает Екатерине уникальное решение: доступ к уже отфильтрованной аудитории самых активных студентов с верифицированными портфолио.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yyen8dciioet" w:id="15"/>
      <w:bookmarkEnd w:id="15"/>
      <w:r w:rsidDel="00000000" w:rsidR="00000000" w:rsidRPr="00000000">
        <w:rPr>
          <w:rtl w:val="0"/>
        </w:rPr>
        <w:t xml:space="preserve">2.5.3 Анализ конкурентной среды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Проведенный анализ российского рынка образовательных технологий демонстрирует высокую степень фрагментации. Существующие решения четко делятся на массовые образовательные платформы и узкоспециализированный административный софт, оставляя нишу студенческой вовлеченности практически пустой.</w:t>
      </w:r>
    </w:p>
    <w:tbl>
      <w:tblPr>
        <w:tblStyle w:val="Table2"/>
        <w:tblW w:w="9356.000000000002" w:type="dxa"/>
        <w:jc w:val="left"/>
        <w:tblBorders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tblBorders>
        <w:tblLayout w:type="fixed"/>
        <w:tblLook w:val="0400"/>
      </w:tblPr>
      <w:tblGrid>
        <w:gridCol w:w="2433"/>
        <w:gridCol w:w="2140"/>
        <w:gridCol w:w="2224"/>
        <w:gridCol w:w="46"/>
        <w:gridCol w:w="2513"/>
        <w:tblGridChange w:id="0">
          <w:tblGrid>
            <w:gridCol w:w="2433"/>
            <w:gridCol w:w="2140"/>
            <w:gridCol w:w="2224"/>
            <w:gridCol w:w="46"/>
            <w:gridCol w:w="2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Категория деятельности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Представители на рынке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Основной функционал и фокус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e3e3e3" w:space="0" w:sz="4" w:val="single"/>
            </w:tcBorders>
          </w:tcPr>
          <w:p w:rsidR="00000000" w:rsidDel="00000000" w:rsidP="00000000" w:rsidRDefault="00000000" w:rsidRPr="00000000" w14:paraId="000000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Ключевой недостаток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Массовое онлайн-образование (EdTech)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Учи.ру, Skillbox, GeekBrains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Курсы, тренажеры, подготовка к экзаменам. Фокус на академических знаниях (Hard Skills)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e3e3e3" w:space="0" w:sz="4" w:val="single"/>
            </w:tcBorders>
          </w:tcPr>
          <w:p w:rsidR="00000000" w:rsidDel="00000000" w:rsidP="00000000" w:rsidRDefault="00000000" w:rsidRPr="00000000" w14:paraId="000000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Работают по модели B2C (платная подписка), не интегрированы в жизнь конкретного вуза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Карьерные агрегаторы и стажировки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Changellenge, FutureToday, Факультетус, HH.ru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Кейс-чемпионаты, ярмарки вакансий, поиск работы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e3e3e3" w:space="0" w:sz="4" w:val="single"/>
            </w:tcBorders>
          </w:tcPr>
          <w:p w:rsidR="00000000" w:rsidDel="00000000" w:rsidP="00000000" w:rsidRDefault="00000000" w:rsidRPr="00000000" w14:paraId="000000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Являются внешними площадками. Нет геймификации и трекинга ежедневной активности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Нишевая геймификация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Квиз Лаб, Диакласс, Kahoot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Проведение опросов, викторин, тестов с начислением баллов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e3e3e3" w:space="0" w:sz="4" w:val="single"/>
            </w:tcBorders>
          </w:tcPr>
          <w:p w:rsidR="00000000" w:rsidDel="00000000" w:rsidP="00000000" w:rsidRDefault="00000000" w:rsidRPr="00000000" w14:paraId="000000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Инструменты «одного дня». Нет накопления прогресса, нет связи с карьерой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Агрегаторы мероприятий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Timepad, Leader-ID, Lomonosov-msu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Регистрация на события, афиша, получение электронных билетов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e3e3e3" w:space="0" w:sz="4" w:val="single"/>
            </w:tcBorders>
          </w:tcPr>
          <w:p w:rsidR="00000000" w:rsidDel="00000000" w:rsidP="00000000" w:rsidRDefault="00000000" w:rsidRPr="00000000" w14:paraId="000000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Только функционал регистрации. Отсутствует мотивационная система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Индустрия развлечений 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BetBoom, 1xBet, Компьютерные клубы, Соцсети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Удовлетворение потребности в азарте, соревновании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e3e3e3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Отвлекают от учебы и карьеры. Не дают профессиональной ценности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Административное ПО для вузов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ООО «Компьютерные программы», 1С: Университет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Учет успеваемости, расписание, приказы, работа деканата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e3e3e3" w:space="0" w:sz="4" w:val="single"/>
            </w:tcBorders>
          </w:tcPr>
          <w:p w:rsidR="00000000" w:rsidDel="00000000" w:rsidP="00000000" w:rsidRDefault="00000000" w:rsidRPr="00000000" w14:paraId="000000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Устаревший интерфейс, отсутствие мобильности, игнорирование интересов студента</w:t>
            </w:r>
          </w:p>
        </w:tc>
      </w:tr>
    </w:tbl>
    <w:p w:rsidR="00000000" w:rsidDel="00000000" w:rsidP="00000000" w:rsidRDefault="00000000" w:rsidRPr="00000000" w14:paraId="000000C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2.1 – Анализ конкурентов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jox180kgrv6o" w:id="16"/>
      <w:bookmarkEnd w:id="16"/>
      <w:r w:rsidDel="00000000" w:rsidR="00000000" w:rsidRPr="00000000">
        <w:rPr>
          <w:rtl w:val="0"/>
        </w:rPr>
        <w:t xml:space="preserve">2.5.4 Стратегическое преимущество CodHammer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Основываясь на результатах многофакторного анализа рынка, включая выводы из матрицы Хофера и модели пяти сил Портера, проект CodHammer реализует стратегию «Голубого океана», формируя свободную нишу на стыке EdTech, HR-Tech и индустрии развлечений.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Ключевые преимущества: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Глубокая интеграция в экосистему вуза — встраивание в цепочки взаимодействия с Центром карьеры, СНО и киберклубом, что создает высокий барьер входа для конкурентов.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Верификация достижений — возможность подтверждения активности, невидной внешним игрокам (волонтерство, организаторская деятельность).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Стратегия «от ядра к периферии» — минимизация стоимости привлечения пользователя (CAC) через лидеров мнений.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B2B-монетизация — фокус на контрактах с партнерами, а не на продаже подписок студентам.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iaayk0us97m6" w:id="17"/>
      <w:bookmarkEnd w:id="17"/>
      <w:r w:rsidDel="00000000" w:rsidR="00000000" w:rsidRPr="00000000">
        <w:rPr>
          <w:rtl w:val="0"/>
        </w:rPr>
        <w:t xml:space="preserve">2.6 Бизнес-модель и монетизация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Финансовая стратегия проекта CodHammer базируется на гибридной модели монетизации с доминированием B2B-сегмента. В отличие от большинства образовательных стартапов, пытающихся продавать подписки студентам с низкой платежеспособностью, CodHammer монетизирует не самого пользователя, а внимание и доступ к целевой аудитории.</w:t>
      </w:r>
    </w:p>
    <w:tbl>
      <w:tblPr>
        <w:tblStyle w:val="Table3"/>
        <w:tblW w:w="9356.000000000002" w:type="dxa"/>
        <w:jc w:val="left"/>
        <w:tblBorders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tblBorders>
        <w:tblLayout w:type="fixed"/>
        <w:tblLook w:val="0400"/>
      </w:tblPr>
      <w:tblGrid>
        <w:gridCol w:w="1621"/>
        <w:gridCol w:w="1475"/>
        <w:gridCol w:w="2124"/>
        <w:gridCol w:w="1006"/>
        <w:gridCol w:w="951"/>
        <w:gridCol w:w="1117"/>
        <w:gridCol w:w="1062"/>
        <w:tblGridChange w:id="0">
          <w:tblGrid>
            <w:gridCol w:w="1621"/>
            <w:gridCol w:w="1475"/>
            <w:gridCol w:w="2124"/>
            <w:gridCol w:w="1006"/>
            <w:gridCol w:w="951"/>
            <w:gridCol w:w="1117"/>
            <w:gridCol w:w="10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Канал монетизации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Целевой клиент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Единица продажи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Цена за ед., руб.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Объем продаж / мес.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Выручка / мес., руб.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Доля в выручке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Рекламные интеграции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B2B (Компании-партнеры, HR)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Рекламный слот / Пост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30 000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360 000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94,7%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Продажа мерча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B2C (Студенты)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Единица продукции (Худи/Футболка)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1 000 (маржа)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20 000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5,3%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ИТОГО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380 000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E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2.2 – Модель монетизации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Каналы монетизации: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B2B: Реклама мероприятий и вакансий (Основной канал) — Продажа рекламных слотов компаниям, заинтересованным в целевой аудитории активных студентов. Цена слота (30 000 руб.) обоснована высоким качеством аудитории и ее вовлеченностью.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B2C: Продажа мерча (Дополнительный канал) — Реализация брендированной продукции университета и компаний-партнеров. Выполняет важную маркетинговую функцию повышения лояльности.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B2B: Продажа аналитических отчетов (Перспективный канал) — Предоставление анонимизированных данных для Центра карьеры МИРЭА или HR-отделов компаний.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B2B: Комиссия за трудоустройство (HR-Tech модель) — Получение процента или фиксированной платы от компании за каждого студента, успешно прошедшего стажировку.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B2G (Business-to-Government): Университетская подписка — По мере развития платформа может быть предложена вузу как SaaS-решение для управления внеучебной деятельностью.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прогнозная годовая выручка составляет 4,56 млн руб., что обеспечивает устойчивую финансовую модель.</w:t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l2m84040ojz9" w:id="18"/>
      <w:bookmarkEnd w:id="18"/>
      <w:r w:rsidDel="00000000" w:rsidR="00000000" w:rsidRPr="00000000">
        <w:rPr>
          <w:rtl w:val="0"/>
        </w:rPr>
        <w:t xml:space="preserve">2.7 Экономика и точка безубыточности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Экономическая модель «CodHammer» строится на принципах «бережливого стартапа». Ключевая стратегия заключается в минимизации затрат на привлечение пользователей (CAC) за счет глубокой интеграции в экосистему РТУ МИРЭА и органического роста через доверенные партнерские каналы.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wxues02n3tyn" w:id="19"/>
      <w:bookmarkEnd w:id="19"/>
      <w:r w:rsidDel="00000000" w:rsidR="00000000" w:rsidRPr="00000000">
        <w:rPr>
          <w:rtl w:val="0"/>
        </w:rPr>
        <w:t xml:space="preserve">2.7.1 Структура расходов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Постоянные затраты: составляют около 351 000 рублей в месяц и включают: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Фонд оплаты труда — 320 000 рублей в месяц (Team Lead, Backend-разработчик, Frontend-разработчик, DevOps-инженер).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Инфраструктурные расходы — около 1 000 рублей в месяц (аренда облачных серверов для MVP-версии).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Прочие расходы — 30 000 рублей в месяц (лицензии на ПО, сервисы для совместной работы, банковское обслуживание, юридические и бухгалтерские услуги).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Переменные затраты: формируются пропорционально объёму продаж: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Расходы на производство и логистику мерчандайзинговой продукции — себестоимость одной единицы составляет 500 рублей.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Затраты на B2B-продажи — комиссия менеджеру по продажам (5% от стоимости рекламного слота).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rf5ozh52fk54" w:id="20"/>
      <w:bookmarkEnd w:id="20"/>
      <w:r w:rsidDel="00000000" w:rsidR="00000000" w:rsidRPr="00000000">
        <w:rPr>
          <w:rtl w:val="0"/>
        </w:rPr>
        <w:t xml:space="preserve">2.7.2 Расчет точки безубыточности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расчёта точки безубыточности используется показатель средневзвешенной маржинальности: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Маржа с одного рекламного слота: 30 000 – 1 500 = 28 500 рублей.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Маржа с одной единицы мерча: 1 000 – 500 = 500 рублей.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Средневзвешенная маржинальность: около 92,6%.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Формула 2.1 – Расчет точки безубыточности: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BEP=Постоянные затраты/Коэффициент маржинального дохода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BEP=351 000 руб./0.926≈379 050 руб./мес.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Это означает, что для покрытия всех расходов проекту необходимо генерировать около 379 050 рублей выручки в месяц.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xgoz4gjf5d06" w:id="21"/>
      <w:bookmarkEnd w:id="21"/>
      <w:r w:rsidDel="00000000" w:rsidR="00000000" w:rsidRPr="00000000">
        <w:rPr>
          <w:rtl w:val="0"/>
        </w:rPr>
        <w:t xml:space="preserve">2.7.3 Финансовые сценарии развития</w:t>
      </w:r>
    </w:p>
    <w:tbl>
      <w:tblPr>
        <w:tblStyle w:val="Table4"/>
        <w:tblW w:w="9356.0" w:type="dxa"/>
        <w:jc w:val="left"/>
        <w:tblBorders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tblBorders>
        <w:tblLayout w:type="fixed"/>
        <w:tblLook w:val="0400"/>
      </w:tblPr>
      <w:tblGrid>
        <w:gridCol w:w="2365"/>
        <w:gridCol w:w="2392"/>
        <w:gridCol w:w="2327"/>
        <w:gridCol w:w="2272"/>
        <w:tblGridChange w:id="0">
          <w:tblGrid>
            <w:gridCol w:w="2365"/>
            <w:gridCol w:w="2392"/>
            <w:gridCol w:w="2327"/>
            <w:gridCol w:w="22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Показатель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Пессимистичный сценарий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Реалистичный сценарий (Базовый)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Оптимистичный сценарий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Предпосылки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Низкий спрос, трудности на старте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Стабильный спрос B2B, умеренный B2C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Активное вовлечение, запуск B2G (Вуз)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Объем продаж (Реклама)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 слотов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 слотов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 слотов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Объем продаж (Мерч)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ед.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 ед.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 ед.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ВЫРУЧКА (Revenue)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190 000 ₽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380 000 ₽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630 000 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Итого расходы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365 000 ₽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379 000 ₽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398 000 ₽</w:t>
            </w:r>
          </w:p>
        </w:tc>
      </w:tr>
      <w:tr>
        <w:trPr>
          <w:cantSplit w:val="0"/>
          <w:trHeight w:val="1284" w:hRule="atLeast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ФИНАНСОВЫЙ РЕЗУЛЬТАТ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-175 000 ₽ (Убыток)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+1 000 ₽ (Точка безубыточности)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+232 000 ₽ (Прибыль)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Рентабельность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-92%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0.3%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37%</w:t>
            </w:r>
          </w:p>
        </w:tc>
      </w:tr>
    </w:tbl>
    <w:p w:rsidR="00000000" w:rsidDel="00000000" w:rsidP="00000000" w:rsidRDefault="00000000" w:rsidRPr="00000000" w14:paraId="0000012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2.3 – Сравнительная таблица сценариев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экономическая модель проекта демонстрирует устойчивость. Даже в реалистичном сценарии проект быстро достигает точки безубыточности, а оптимистичный сценарий показывает значительный потенциал для роста.</w:t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a4qjvgi7aljv" w:id="22"/>
      <w:bookmarkEnd w:id="22"/>
      <w:r w:rsidDel="00000000" w:rsidR="00000000" w:rsidRPr="00000000">
        <w:rPr>
          <w:rtl w:val="0"/>
        </w:rPr>
        <w:t xml:space="preserve">2.8 Стратегия продвижения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Стратегия привлечения и удержания пользователей в проекте «CodHammer» строится не на массовой рекламе, а на глубокой интеграции в экосистему РТУ МИРЭА и поэтапном вовлечении целевой аудитории через доверенные каналы и партнерства.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2hp82zh4q0vi" w:id="23"/>
      <w:bookmarkEnd w:id="23"/>
      <w:r w:rsidDel="00000000" w:rsidR="00000000" w:rsidRPr="00000000">
        <w:rPr>
          <w:rtl w:val="0"/>
        </w:rPr>
        <w:t xml:space="preserve">2.8.1 Модель диффузии инноваций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Стратегия продвижения «от ядра к периферии» находит свое теоретическое подтверждение в классической модели диффузии инноваций, предложенной Эвереттом Роджерсом. Согласно этой теории, первыми пользователями любого нововведения становятся «новаторы» (Innovators) и «ранние последователи» (Early Adopters). В контексте университетской среды именно лидеры СНО, организаторы мероприятий и победители олимпиад представляют собой эту критически важную группу.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Преимущества стратегии: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«Новаторы» и «ранние последователи» обладают высоким уровнем доверия и влияния внутри своих социальных групп, выступая в роли лидеров мнений.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Эта первоначальная аудитория является источником наиболее ценной обратной связи, позволяя быстро дорабатывать продукт.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Стратегия минимизирует стоимость привлечения клиента (CAC) и закладывает фундамент для устойчивого органического роста.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dry2up4f0vjk" w:id="24"/>
      <w:bookmarkEnd w:id="24"/>
      <w:r w:rsidDel="00000000" w:rsidR="00000000" w:rsidRPr="00000000">
        <w:rPr>
          <w:rtl w:val="0"/>
        </w:rPr>
        <w:t xml:space="preserve">2.8.2 Воронка продаж</w:t>
      </w:r>
    </w:p>
    <w:tbl>
      <w:tblPr>
        <w:tblStyle w:val="Table5"/>
        <w:tblW w:w="9356.0" w:type="dxa"/>
        <w:jc w:val="left"/>
        <w:tblBorders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tblBorders>
        <w:tblLayout w:type="fixed"/>
        <w:tblLook w:val="0400"/>
      </w:tblPr>
      <w:tblGrid>
        <w:gridCol w:w="2188"/>
        <w:gridCol w:w="1909"/>
        <w:gridCol w:w="3200"/>
        <w:gridCol w:w="2059"/>
        <w:tblGridChange w:id="0">
          <w:tblGrid>
            <w:gridCol w:w="2188"/>
            <w:gridCol w:w="1909"/>
            <w:gridCol w:w="3200"/>
            <w:gridCol w:w="20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Этап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Цель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Инструменты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Сообщение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Любопытство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Привлечение внимания и формирование первичного доверия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Личные контакты, презентации на собраниях СНО, закрытые Telegram-чаты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«Ищешь подработку? Построй вектор своей карьеры!»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Информирование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Демонстрация ценности и преимуществ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Тематические посты, дайджесты, рассылки через Telegram-бот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«CodHammer: от участия в мероприятиях до стажировки в IT-компании»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Вовлечение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Активация и формирование привычки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Push-уведомления, геймификация, тематические недели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«От баллов к реальным возможностям»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Действие и Лояльность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«Покупка» и адвокация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Обмен баллов на мерч/зачеты/стажировки, экспорт портфолио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«Твоя активность — это капитал»</w:t>
            </w:r>
          </w:p>
        </w:tc>
      </w:tr>
    </w:tbl>
    <w:p w:rsidR="00000000" w:rsidDel="00000000" w:rsidP="00000000" w:rsidRDefault="00000000" w:rsidRPr="00000000" w14:paraId="0000014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2.4 – Этапы воронки продаж</w:t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p40wnuscw1l7" w:id="25"/>
      <w:bookmarkEnd w:id="25"/>
      <w:r w:rsidDel="00000000" w:rsidR="00000000" w:rsidRPr="00000000">
        <w:rPr>
          <w:rtl w:val="0"/>
        </w:rPr>
        <w:t xml:space="preserve">2.9 Дорожная карта проекта</w:t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Реализация проекта выстроена в соответствии с тремя параллельными треками: стратегическим (бизнес-логика), техническим (разработка) и маркетинговым (продвижение).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da1o2rmsb9pd" w:id="26"/>
      <w:bookmarkEnd w:id="26"/>
      <w:r w:rsidDel="00000000" w:rsidR="00000000" w:rsidRPr="00000000">
        <w:rPr>
          <w:rtl w:val="0"/>
        </w:rPr>
        <w:t xml:space="preserve">2.9.1 Стратегическая дорожная карта</w:t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Весна – Лето 2025: Концептуализация и создание визуального прототипа. Формулировка гипотезы о необходимости геймификации внеучебной деятельности.</w:t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Осень 2025: Участие в акселераторе «Цифра». Трансформация идеи в бизнес-модель с упором на B2B-сегмент. Выступление на Демо-дне в Ярославле (ноябрь 2025).</w:t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Зима 2025/2026: Трансформация прототипа в MLP (Minimum Lovable Product). Глубокая проработка ядра: системы начисления баллов и магазина наград.</w:t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Весна 2026: «Мягкий запуск» (Soft Launch). Закрытое внедрение системы для ограниченной группы лидеров СНО и киберклуба. Масштабирование на весь вуз в мае 2026 года.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lh0deo170dta" w:id="27"/>
      <w:bookmarkEnd w:id="27"/>
      <w:r w:rsidDel="00000000" w:rsidR="00000000" w:rsidRPr="00000000">
        <w:rPr>
          <w:rtl w:val="0"/>
        </w:rPr>
        <w:t xml:space="preserve">2.9.2 Техническая дорожная карта</w:t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Весна – Лето 2025: Создание клиентской части (Frontend) на фреймворке Flutter. Верстка экранов, создание дизайн-системы (UI Kit), реализация логики навигации.</w:t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Декабрь 2025 – Январь 2026: Реализация серверной части (Backend) на языке Go. Проектирование архитектуры базы данных, разработка API-методов для модулей «Магазин» и «Рейтинг».</w:t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Февраль – Март 2026: Интеграция Frontend и Backend. Настройка системы авторизации через JWT-токены, синхронизация данных в реальном времени, подключение админ-панели.</w:t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Апрель 2026: Комплексное тестирование (QA). Нагрузочное тестирование и проверка сценариев безопасности (anti-fraud).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woslmru1foi8" w:id="28"/>
      <w:bookmarkEnd w:id="28"/>
      <w:r w:rsidDel="00000000" w:rsidR="00000000" w:rsidRPr="00000000">
        <w:rPr>
          <w:rtl w:val="0"/>
        </w:rPr>
        <w:t xml:space="preserve">2.9.3 Маркетинговая дорожная карта</w:t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Август – Сентябрь 2025: Запуск официальных каналов в Telegram и VK. Формат «Building in public» для обеспечения доверия и вовлеченности.</w:t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Ноябрь 2025 – Январь 2026: Фаза удержания интереса («Прогрев»). Публикация DevLogs (Дневники разработки), опросов по выбору дизайна мерча.</w:t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Февраль 2026: Сбор листа ожидания (Waitlist) для бета-тестирования. Позиционирование доступа как привилегии для активных подписчиков.</w:t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Апрель – Май 2026: Запуск амбассадорской программы и Event-маркетинг. Первое офлайн-мероприятие с использованием механик приложения.</w:t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t5jbrj3ibkkr" w:id="29"/>
      <w:bookmarkEnd w:id="29"/>
      <w:r w:rsidDel="00000000" w:rsidR="00000000" w:rsidRPr="00000000">
        <w:rPr>
          <w:rtl w:val="0"/>
        </w:rPr>
        <w:t xml:space="preserve">2.10 Продуктовая линейка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Пользовательский интерфейс приложения CodHammer спроектирован по принципу «нижней навигации» (Bottom Navigation Bar) и состоит из четырех ключевых разделов: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Экран «Календарь событий» (Event Feed): Интерактивная лента всех активностей вуза и партнеров с встроенной кнопкой регистрации в один клик.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Экран «Опросы и Голосования» (Feedback Loop): Актуальные опросы от администрации и студсовета. Самый быстрый способ заработать баллы.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Экран «Киберспорт и Предикты» (Esports Zone): Агрегатор киберспортивных турниров с системой предиктов на исходы матчей. Безопасная имитация беттинга для удержания азартной аудитории.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Экран «Профиль и Магазин» (Ecosystem Hub): Динамическое портфолио с уровнем, статистикой посещений и балансом баллов. Внутренний магазин с физическими товарами, академическими привилегиями и карьерными бустами.</w:t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39nm7e1ciejf" w:id="30"/>
      <w:bookmarkEnd w:id="30"/>
      <w:r w:rsidDel="00000000" w:rsidR="00000000" w:rsidRPr="00000000">
        <w:rPr>
          <w:rtl w:val="0"/>
        </w:rPr>
        <w:t xml:space="preserve">2.11 Стратегия масштабирования</w:t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успешного завершения трех начальных фаз запуска и достижения точки операционной безубыточности, проект «CodHammer» перейдет на следующий этап своего жизненного цикла.</w:t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Оптимизация организационно-правовой структуры: Планируется переход на Патентную систему налогообложения (ПСН) для индивидуальных предпринимателей (статья 346.43 Налогового кодекса РФ). Этот налоговый режим является оптимальным для IT-бизнеса с предсказуемым доходом и небольшим штатом.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Расширение команды: Привлечение четырех стажеров через саму платформу CodHammer, что увеличит общую численность команды до восьми человек. Это позволит ускорить разработку новых модулей без значительного увеличения фонда оплаты труда.</w:t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Усиление маркетингового присутствия: Переход коммуникации в социальных сетях к формату полноценного комьюнити-менеджмента. Публикация технических статей на платформе «Хабр» для привлечения потенциальных стажеров и B2B-клиентов.</w:t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Масштабирование на другие вузы: После успешной реализации в РТУ МИРЭА планируется тиражирование решения на другие технические вузы Москвы с технической специальностью (57 вузов).</w:t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Выводы по второй главе</w:t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данной главы было проведено комплексное описание бизнес-модели проекта «CodHammer». Были сформулированы цель и задачи проекта, определена целевая аудитория и проведен анализ конкурентной среды.</w:t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Ключевые результаты: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Подтверждена актуальность проекта на основе статистических данных о рынке труда и образовательных технологий.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Разработана гибридная модель монетизации с доминированием B2B-сегмента (94,7% выручки).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Рассчитана точка безубыточности (379 050 руб./мес.), которая достижима в реалистичном сценарии развития.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Сформирована дорожная карта проекта с четкими этапами и сроками реализации.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Определена стратегия масштабирования через оптимизацию налоговой структуры и расширение команды.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Экономическая модель проекта демонстрирует устойчивость и потенциал для роста. За счет стратегии минимизации затрат на привлечение пользователей и фокуса на B2B-монетизации, проект достигает точки безубыточности в реалистичном сценарии развития уже в первые месяцы после полноценного запуска. Оптимистичный сценарий показывает значительный потенциал для получения прибыли (232 000 рублей в месяц), которая может быть реинвестирована в дальнейшее развитие продукта.</w:t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проект «CodHammer» представляет собой комплексное, востребованное и экономически обоснованное решение, готовое к реализации в рамках экосистемы РТУ МИРЭА с потенциалом масштабирования на другие технические вузы.</w:t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60" w:line="259" w:lineRule="auto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rPr/>
      </w:pPr>
      <w:bookmarkStart w:colFirst="0" w:colLast="0" w:name="_kobvccdf04ml" w:id="31"/>
      <w:bookmarkEnd w:id="31"/>
      <w:r w:rsidDel="00000000" w:rsidR="00000000" w:rsidRPr="00000000">
        <w:rPr>
          <w:rtl w:val="0"/>
        </w:rPr>
        <w:t xml:space="preserve">Глава 3. Проектирование</w:t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mvc7o3x20n3e" w:id="32"/>
      <w:bookmarkEnd w:id="32"/>
      <w:r w:rsidDel="00000000" w:rsidR="00000000" w:rsidRPr="00000000">
        <w:rPr>
          <w:rtl w:val="0"/>
        </w:rPr>
        <w:t xml:space="preserve">3.1 Общая часть: моделирование бизнес-процессов</w:t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3gbdzc7k8y7l" w:id="33"/>
      <w:bookmarkEnd w:id="33"/>
      <w:r w:rsidDel="00000000" w:rsidR="00000000" w:rsidRPr="00000000">
        <w:rPr>
          <w:rtl w:val="0"/>
        </w:rPr>
        <w:t xml:space="preserve">3.1.1 Модель AS-IS (существующее состояние)</w:t>
      </w:r>
    </w:p>
    <w:p w:rsidR="00000000" w:rsidDel="00000000" w:rsidP="00000000" w:rsidRDefault="00000000" w:rsidRPr="00000000" w14:paraId="0000017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текущий момент процесс вовлечения студентов во внеучебную деятельность в РТУ МИРЭА осуществляется без единой цифровой платформы. Анализ существующего положения дел выявил следующие проблемы:</w:t>
      </w:r>
    </w:p>
    <w:p w:rsidR="00000000" w:rsidDel="00000000" w:rsidP="00000000" w:rsidRDefault="00000000" w:rsidRPr="00000000" w14:paraId="0000017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Информационная разрозненность. Сведения о мероприятиях публикуются в различных Telegram-каналах, VK-группах и на сайте университета, что приводит к потере важной информации.</w:t>
      </w:r>
    </w:p>
    <w:p w:rsidR="00000000" w:rsidDel="00000000" w:rsidP="00000000" w:rsidRDefault="00000000" w:rsidRPr="00000000" w14:paraId="0000017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Отсутствие системы мотивации. Студенты не получают материального или академического вознаграждения за участие в мероприятиях, что снижает вовлечённость.</w:t>
      </w:r>
    </w:p>
    <w:p w:rsidR="00000000" w:rsidDel="00000000" w:rsidP="00000000" w:rsidRDefault="00000000" w:rsidRPr="00000000" w14:paraId="0000017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Ручной учёт достижений. Портфолио студента формируется вручную, без возможности верификации достижений работодателем.</w:t>
      </w:r>
    </w:p>
    <w:p w:rsidR="00000000" w:rsidDel="00000000" w:rsidP="00000000" w:rsidRDefault="00000000" w:rsidRPr="00000000" w14:paraId="0000017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Отсутствие аналитики. Администрация вуза не имеет инструментов для анализа студенческой активности и выявления наиболее вовлечённых студентов.</w:t>
      </w:r>
    </w:p>
    <w:p w:rsidR="00000000" w:rsidDel="00000000" w:rsidP="00000000" w:rsidRDefault="00000000" w:rsidRPr="00000000" w14:paraId="0000017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Модель процесса AS-IS представлена на рисунке 3.1 в нотации BPMN 2.0.</w:t>
      </w:r>
    </w:p>
    <w:p w:rsidR="00000000" w:rsidDel="00000000" w:rsidP="00000000" w:rsidRDefault="00000000" w:rsidRPr="00000000" w14:paraId="000001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2965" cy="474154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74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3.1 — Модель бизнес-процесса AS-IS</w:t>
      </w:r>
    </w:p>
    <w:p w:rsidR="00000000" w:rsidDel="00000000" w:rsidP="00000000" w:rsidRDefault="00000000" w:rsidRPr="00000000" w14:paraId="0000017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 видно из модели, процесс характеризуется следующими недостатками: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отсутствие автоматизации регистрации на мероприятия;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ручная обработка данных организаторами;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отсутствие обратной связи со студентом после мероприятия;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нет накопления и верификации достижений.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dtis2y6wx5jd" w:id="34"/>
      <w:bookmarkEnd w:id="34"/>
      <w:r w:rsidDel="00000000" w:rsidR="00000000" w:rsidRPr="00000000">
        <w:rPr>
          <w:rtl w:val="0"/>
        </w:rPr>
        <w:t xml:space="preserve">3.1.2 Модель TO-BE (целевое состояние)</w:t>
      </w:r>
    </w:p>
    <w:p w:rsidR="00000000" w:rsidDel="00000000" w:rsidP="00000000" w:rsidRDefault="00000000" w:rsidRPr="00000000" w14:paraId="0000018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внедрением платформы CodHammer бизнес-процессы трансформируются следующим образом: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Централизованная публикация событий. Все мероприятия размещаются в едином календаре приложения.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Автоматическая регистрация. Студент регистрируется на мероприятие в один клик через приложение.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Геймификация участия. За каждое действие студент получает баллы, которые можно обменять на rewards.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Верифицированное портфолио. Все достижения автоматически фиксируются в профиле студента.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Аналитика для администрации. Центр карьеры получает доступ к аналитическим отчётам о студенческой активности.</w:t>
      </w:r>
    </w:p>
    <w:p w:rsidR="00000000" w:rsidDel="00000000" w:rsidP="00000000" w:rsidRDefault="00000000" w:rsidRPr="00000000" w14:paraId="000001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2965" cy="638746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6387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3.2 — Модель бизнес-процесса TO-BE</w:t>
      </w:r>
    </w:p>
    <w:p w:rsidR="00000000" w:rsidDel="00000000" w:rsidP="00000000" w:rsidRDefault="00000000" w:rsidRPr="00000000" w14:paraId="0000018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Преимущества новой модели: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сокращение времени на регистрацию с 5-10 минут до 30 секунд;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автоматическое начисление баллов за участие;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верифицированное портфолио для работодателя;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аналитика активности в реальном времени.</w:t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95qlarptclzv" w:id="35"/>
      <w:bookmarkEnd w:id="35"/>
      <w:r w:rsidDel="00000000" w:rsidR="00000000" w:rsidRPr="00000000">
        <w:rPr>
          <w:rtl w:val="0"/>
        </w:rPr>
        <w:t xml:space="preserve">3.1.3 Описание индивидуального вклада участников команды</w:t>
      </w:r>
    </w:p>
    <w:p w:rsidR="00000000" w:rsidDel="00000000" w:rsidP="00000000" w:rsidRDefault="00000000" w:rsidRPr="00000000" w14:paraId="0000019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Распределение зон ответственности между участниками команды проекта представлено в таблице 3.1.</w:t>
      </w:r>
    </w:p>
    <w:tbl>
      <w:tblPr>
        <w:tblStyle w:val="Table6"/>
        <w:tblW w:w="934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7"/>
        <w:gridCol w:w="2337"/>
        <w:gridCol w:w="2337"/>
        <w:gridCol w:w="2338"/>
        <w:tblGridChange w:id="0">
          <w:tblGrid>
            <w:gridCol w:w="2337"/>
            <w:gridCol w:w="2337"/>
            <w:gridCol w:w="2337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Участник команды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Роль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Зона ответственности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Васильченко М.М.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Team-Lead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Общее руководство, стратегия развития, взаимодействие с партнёрами, UI/UX дизайн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Енин Д.С.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Frontend-разработчик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Разработка мобильного приложения на Flutter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Шипунов Д.А.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Backend-разработчик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Разработка серверной части на Golang, проектирование БД,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Зыбин Е.В.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DevOps-инженер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Настройка инфраструктуры, CI/CD, мониторинг</w:t>
            </w:r>
          </w:p>
        </w:tc>
      </w:tr>
    </w:tbl>
    <w:p w:rsidR="00000000" w:rsidDel="00000000" w:rsidP="00000000" w:rsidRDefault="00000000" w:rsidRPr="00000000" w14:paraId="000001A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3.1 – Распределение ответственности между участниками команды</w:t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ap288wa5adco" w:id="36"/>
      <w:bookmarkEnd w:id="36"/>
      <w:r w:rsidDel="00000000" w:rsidR="00000000" w:rsidRPr="00000000">
        <w:rPr>
          <w:rtl w:val="0"/>
        </w:rPr>
        <w:t xml:space="preserve">3.2 Индивидуальная часть: детализация подпроцессов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bsedw2makmbz" w:id="37"/>
      <w:bookmarkEnd w:id="37"/>
      <w:r w:rsidDel="00000000" w:rsidR="00000000" w:rsidRPr="00000000">
        <w:rPr>
          <w:rtl w:val="0"/>
        </w:rPr>
        <w:t xml:space="preserve">3.2.1 Архитектура компонентов системы</w:t>
      </w:r>
    </w:p>
    <w:p w:rsidR="00000000" w:rsidDel="00000000" w:rsidP="00000000" w:rsidRDefault="00000000" w:rsidRPr="00000000" w14:paraId="000001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CodHammer построена по клиент-серверной архитектуре с разделением на frontend и backend компоненты. Общая архитектура системы представлена на рисунке 3.3.</w:t>
      </w:r>
    </w:p>
    <w:p w:rsidR="00000000" w:rsidDel="00000000" w:rsidP="00000000" w:rsidRDefault="00000000" w:rsidRPr="00000000" w14:paraId="000001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2965" cy="66643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666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3.3 — Архитектура системы CodHammer</w:t>
      </w:r>
    </w:p>
    <w:p w:rsidR="00000000" w:rsidDel="00000000" w:rsidP="00000000" w:rsidRDefault="00000000" w:rsidRPr="00000000" w14:paraId="000001A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компоненты системы: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Frontend (Flutter). Мобильное приложение для iOS и Android с единой кодовой базой. Использует архитектуру MVVM с управлением состоянием через Provider.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Backend (Golang). REST API сервер, обрабатывающий все бизнес-логические операции. Реализован с использованием фреймворка Gorilla Mux для маршрутизации запросов.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(PostgreSQL). Реляционная база данных для хранения всех сущностей системы. Обеспечивает целостность данных и транзакционную поддержку.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Authentication Service. Модуль аутентификации на основе JWT токенов с использованием bcrypt для хеширования паролей.</w:t>
      </w:r>
    </w:p>
    <w:p w:rsidR="00000000" w:rsidDel="00000000" w:rsidP="00000000" w:rsidRDefault="00000000" w:rsidRPr="00000000" w14:paraId="000001B1">
      <w:pPr>
        <w:pStyle w:val="Heading3"/>
        <w:rPr/>
      </w:pPr>
      <w:bookmarkStart w:colFirst="0" w:colLast="0" w:name="_pd37cwxmpgff" w:id="38"/>
      <w:bookmarkEnd w:id="38"/>
      <w:r w:rsidDel="00000000" w:rsidR="00000000" w:rsidRPr="00000000">
        <w:rPr>
          <w:rtl w:val="0"/>
        </w:rPr>
        <w:t xml:space="preserve">3.2.2 </w:t>
      </w:r>
      <w:r w:rsidDel="00000000" w:rsidR="00000000" w:rsidRPr="00000000">
        <w:rPr>
          <w:sz w:val="28"/>
          <w:szCs w:val="28"/>
          <w:rtl w:val="0"/>
        </w:rPr>
        <w:t xml:space="preserve">User Flow диаграмма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Проектирование user flow диаграммы выполнено с учетом удобства клиента в достижении необходимой цели и необходимой страницы приложения в зависимости от его желания.</w:t>
      </w:r>
    </w:p>
    <w:p w:rsidR="00000000" w:rsidDel="00000000" w:rsidP="00000000" w:rsidRDefault="00000000" w:rsidRPr="00000000" w14:paraId="000001B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5940115" cy="4165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1115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3.4 – User Flow диаграмма интерфейса</w:t>
      </w:r>
    </w:p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7esritzavr0x" w:id="39"/>
      <w:bookmarkEnd w:id="39"/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3.2.3 Детализация подпроцессов по зоне ответственности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Подпроцесс аутентификации и авторизации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Процесс аутентификации включает следующие этапы: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Пользователь вводит учётные данные (email/телефон и пароль);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Frontend отправляет POST-запрос на endpoint /login;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Backend проверяет наличие пользователя в базе данных;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Производится верификация пароля через bcrypt;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успешной аутентификации генерируется JWT токен;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Токен сохраняется в локальном хранилище (SharedPreferences);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последующие запросы включают токен в заголовок Authorization.</w:t>
      </w:r>
    </w:p>
    <w:p w:rsidR="00000000" w:rsidDel="00000000" w:rsidP="00000000" w:rsidRDefault="00000000" w:rsidRPr="00000000" w14:paraId="000001B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Схема процесса представлена на рисунке 3.5.</w:t>
      </w:r>
    </w:p>
    <w:p w:rsidR="00000000" w:rsidDel="00000000" w:rsidP="00000000" w:rsidRDefault="00000000" w:rsidRPr="00000000" w14:paraId="000001C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Рисунок 3.5 — Процесс аутентификации пользователя</w:t>
      </w:r>
    </w:p>
    <w:p w:rsidR="00000000" w:rsidDel="00000000" w:rsidP="00000000" w:rsidRDefault="00000000" w:rsidRPr="00000000" w14:paraId="000001C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5942965" cy="595757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957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Рисунок 3.5 – Процесс аутентификации пользователя</w:t>
      </w:r>
    </w:p>
    <w:p w:rsidR="00000000" w:rsidDel="00000000" w:rsidP="00000000" w:rsidRDefault="00000000" w:rsidRPr="00000000" w14:paraId="000001C3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Подпроцесс прохождения опроса</w:t>
      </w:r>
    </w:p>
    <w:p w:rsidR="00000000" w:rsidDel="00000000" w:rsidP="00000000" w:rsidRDefault="00000000" w:rsidRPr="00000000" w14:paraId="000001C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Процесс прохождения опроса включает следующие этапы: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Пользователь открывает раздел «Опросы»;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загружает список активных опросов через GET /surveys;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Пользователь выбирает опрос и отвечает на вопросы;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Frontend валидирует ответы на стороне клиента;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Ответы отправляются на сервер через POST /submitsurvey;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Backend проверяет, не проходил ли пользователь этот опрос ранее;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успешной отправке начисляются баллы согласно настройкам опроса;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Статистика пользователя обновляется в таблице user_stats.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Подпроцесс покупки товара в магазине</w:t>
      </w:r>
    </w:p>
    <w:p w:rsidR="00000000" w:rsidDel="00000000" w:rsidP="00000000" w:rsidRDefault="00000000" w:rsidRPr="00000000" w14:paraId="000001C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Процесс покупки товара включает следующие этапы: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Пользователь открывает раздел «Магазин»;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загружает каталог товаров через GET /products;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Пользователь выбирает товар и оформляет заказ;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Frontend проверяет достаточность баллов на счёте;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Заказ отправляется на сервер через POST /orders;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Backend создаёт транзакцию: списание баллов + создание заказа;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Пользователь получает подтверждение заказа;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Статус заказа отслеживается в истории покупок.</w:t>
      </w:r>
    </w:p>
    <w:p w:rsidR="00000000" w:rsidDel="00000000" w:rsidP="00000000" w:rsidRDefault="00000000" w:rsidRPr="00000000" w14:paraId="000001D7">
      <w:pPr>
        <w:spacing w:after="160" w:line="259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rPr/>
      </w:pPr>
      <w:bookmarkStart w:colFirst="0" w:colLast="0" w:name="_th34cir57yor" w:id="40"/>
      <w:bookmarkEnd w:id="40"/>
      <w:r w:rsidDel="00000000" w:rsidR="00000000" w:rsidRPr="00000000">
        <w:rPr>
          <w:rtl w:val="0"/>
        </w:rPr>
        <w:t xml:space="preserve">Глава 4. Реализация</w:t>
      </w:r>
    </w:p>
    <w:p w:rsidR="00000000" w:rsidDel="00000000" w:rsidP="00000000" w:rsidRDefault="00000000" w:rsidRPr="00000000" w14:paraId="000001D9">
      <w:pPr>
        <w:pStyle w:val="Heading2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t2flqsax79u0" w:id="41"/>
      <w:bookmarkEnd w:id="41"/>
      <w:r w:rsidDel="00000000" w:rsidR="00000000" w:rsidRPr="00000000">
        <w:rPr>
          <w:rtl w:val="0"/>
        </w:rPr>
        <w:t xml:space="preserve">4.1 Выбор технологического стека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rPr/>
      </w:pPr>
      <w:bookmarkStart w:colFirst="0" w:colLast="0" w:name="_d1e4np78j34g" w:id="42"/>
      <w:bookmarkEnd w:id="42"/>
      <w:r w:rsidDel="00000000" w:rsidR="00000000" w:rsidRPr="00000000">
        <w:rPr>
          <w:rtl w:val="0"/>
        </w:rPr>
        <w:t xml:space="preserve">4.1.1 Обоснование выбора технологий для Frontend</w:t>
      </w:r>
    </w:p>
    <w:p w:rsidR="00000000" w:rsidDel="00000000" w:rsidP="00000000" w:rsidRDefault="00000000" w:rsidRPr="00000000" w14:paraId="000001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клиентской части выбран фреймворк Flutter (SDK &gt;=3.0.0). Выбор обусловлен следующими факторами: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Кроссплатформенность. Единая кодовая база для iOS и Android сокращает время разработки в 2 раза по сравнению с нативной разработкой.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Высокая производительность. Flutter использует собственный движок рендеринга (Skia), что обеспечивает плавную анимацию и быстрый отклик интерфейса.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Горячая перезагрузка. Возможность мгновенного просмотра изменений в коде ускоряет процесс разработки и отладки.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Богатая библиотека виджетов. Готовые компоненты для создания современного UI (календари, графики, навигация).</w:t>
      </w:r>
    </w:p>
    <w:p w:rsidR="00000000" w:rsidDel="00000000" w:rsidP="00000000" w:rsidRDefault="00000000" w:rsidRPr="00000000" w14:paraId="000001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управления состоянием приложения выбран паттерн Provider. Преимущества: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простота интеграции и использования;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минимальный boilerplate-код;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поддержка реактивного обновления UI при изменении данных.</w:t>
      </w:r>
    </w:p>
    <w:tbl>
      <w:tblPr>
        <w:tblStyle w:val="Table7"/>
        <w:tblW w:w="9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6"/>
        <w:gridCol w:w="2247"/>
        <w:gridCol w:w="2515"/>
        <w:gridCol w:w="1092"/>
        <w:gridCol w:w="3045"/>
        <w:tblGridChange w:id="0">
          <w:tblGrid>
            <w:gridCol w:w="586"/>
            <w:gridCol w:w="2247"/>
            <w:gridCol w:w="2515"/>
            <w:gridCol w:w="1092"/>
            <w:gridCol w:w="30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№ п.п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Компонент</w: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Технология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Версия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Обоснование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1.23.6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Производительность, конкурентность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Flutter</w: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&gt;=3.0.0</w:t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Кроссплатформенность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База данных</w:t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PostgreSQL</w:t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Надёжность, ACID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Аутентификация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JWT</w:t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Stateless, безопасность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HTTP роутер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Gorilla Mux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1.8.1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Простота, производительность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Хеширование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bcrypt</w: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Безопасность паролей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State Management</w:t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Provider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6.1.5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Простота, реактивность</w:t>
            </w:r>
          </w:p>
        </w:tc>
      </w:tr>
      <w:tr>
        <w:trPr>
          <w:cantSplit w:val="0"/>
          <w:trHeight w:val="578" w:hRule="atLeast"/>
          <w:tblHeader w:val="0"/>
        </w:trPr>
        <w:tc>
          <w:tcPr/>
          <w:p w:rsidR="00000000" w:rsidDel="00000000" w:rsidP="00000000" w:rsidRDefault="00000000" w:rsidRPr="00000000" w14:paraId="000002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Локализация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flutter_localizations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Мультиязычность</w:t>
            </w:r>
          </w:p>
        </w:tc>
      </w:tr>
    </w:tbl>
    <w:p w:rsidR="00000000" w:rsidDel="00000000" w:rsidP="00000000" w:rsidRDefault="00000000" w:rsidRPr="00000000" w14:paraId="0000021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4.1 – Технологический стек проекта</w:t>
      </w:r>
    </w:p>
    <w:p w:rsidR="00000000" w:rsidDel="00000000" w:rsidP="00000000" w:rsidRDefault="00000000" w:rsidRPr="00000000" w14:paraId="00000212">
      <w:pPr>
        <w:spacing w:after="160" w:line="259" w:lineRule="auto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rPr/>
      </w:pPr>
      <w:bookmarkStart w:colFirst="0" w:colLast="0" w:name="_xacc3k5otv0x" w:id="43"/>
      <w:bookmarkEnd w:id="43"/>
      <w:r w:rsidDel="00000000" w:rsidR="00000000" w:rsidRPr="00000000">
        <w:rPr>
          <w:rtl w:val="0"/>
        </w:rPr>
        <w:t xml:space="preserve">4.2 Описание UI/UX дизайна</w:t>
      </w:r>
    </w:p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dalgn9tep7u" w:id="44"/>
      <w:bookmarkEnd w:id="44"/>
      <w:r w:rsidDel="00000000" w:rsidR="00000000" w:rsidRPr="00000000">
        <w:rPr>
          <w:rtl w:val="0"/>
        </w:rPr>
        <w:t xml:space="preserve">4.2.1 Принципы проектирования интерфейса</w:t>
      </w:r>
    </w:p>
    <w:tbl>
      <w:tblPr>
        <w:tblStyle w:val="Table8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3402"/>
        <w:gridCol w:w="5381"/>
        <w:tblGridChange w:id="0">
          <w:tblGrid>
            <w:gridCol w:w="562"/>
            <w:gridCol w:w="3402"/>
            <w:gridCol w:w="53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Принцип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Описание реализации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Dark-First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Интерфейс спроектирован преимущественно в тёмной теме (#062B42), что соответствует тематике киберспорта, снижает энергопотребление на OLED-экранах и уменьшает визуальную усталость при длительном использовании.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Визуальная иерархия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Контент структурирован по уровням важности: заголовки → карточки контента → второстепенная информация. Достигается за счёт размера шрифта, цвета и эффектов свечения.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Консистентность компонентов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Все UI-элементы (кнопки, карточки, поля ввода) используют единую систему отступов (8pt grid), радиусов скругления (16-24px) и цветовых токенов.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Микровзаимодействия (Microinteractions)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Каждое действие пользователя сопровождается визуальной обратной связью: изменение состояния кнопки (pressed/hover), анимация перехода между экранами, индикаторы загрузки.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Прогрессивное раскрытие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Информация дозируется: основной контент отображается сразу, детали — по запросу (tap на карточку товара, развёртывание статистики).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Доступность (Accessibility)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Контрастность текстовых элементов соответствует уровню WCAG 2.1 AA. Все интерактивные элементы имеют минимальный размер области нажатия 44×44pt.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4.2 – Принципы проектирования</w:t>
      </w:r>
    </w:p>
    <w:p w:rsidR="00000000" w:rsidDel="00000000" w:rsidP="00000000" w:rsidRDefault="00000000" w:rsidRPr="00000000" w14:paraId="0000022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rPr/>
      </w:pPr>
      <w:bookmarkStart w:colFirst="0" w:colLast="0" w:name="_q7law28chkww" w:id="45"/>
      <w:bookmarkEnd w:id="45"/>
      <w:r w:rsidDel="00000000" w:rsidR="00000000" w:rsidRPr="00000000">
        <w:rPr>
          <w:rtl w:val="0"/>
        </w:rPr>
        <w:t xml:space="preserve">4.2.2 Структура навигации</w:t>
      </w:r>
    </w:p>
    <w:p w:rsidR="00000000" w:rsidDel="00000000" w:rsidP="00000000" w:rsidRDefault="00000000" w:rsidRPr="00000000" w14:paraId="0000022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Приложение использует комбинированную модель навигации с динамической нижней панелью (Dynamic Bottom Navigation Bar):</w:t>
      </w:r>
    </w:p>
    <w:tbl>
      <w:tblPr>
        <w:tblStyle w:val="Table9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082"/>
        <w:tblGridChange w:id="0">
          <w:tblGrid>
            <w:gridCol w:w="2263"/>
            <w:gridCol w:w="7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Таб</w:t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Calendar</w:t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Лента событий, календарь мероприятий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Polls</w:t>
            </w:r>
          </w:p>
        </w:tc>
        <w:tc>
          <w:tcPr/>
          <w:p w:rsidR="00000000" w:rsidDel="00000000" w:rsidP="00000000" w:rsidRDefault="00000000" w:rsidRPr="00000000" w14:paraId="0000023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Активные опросы, результаты голосований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Betting</w:t>
            </w:r>
          </w:p>
        </w:tc>
        <w:tc>
          <w:tcPr/>
          <w:p w:rsidR="00000000" w:rsidDel="00000000" w:rsidP="00000000" w:rsidRDefault="00000000" w:rsidRPr="00000000" w14:paraId="0000023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Ставки на события «Битва роботов»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Profile</w:t>
            </w:r>
          </w:p>
        </w:tc>
        <w:tc>
          <w:tcPr/>
          <w:p w:rsidR="00000000" w:rsidDel="00000000" w:rsidP="00000000" w:rsidRDefault="00000000" w:rsidRPr="00000000" w14:paraId="0000023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Личный кабинет, статистика, достижения</w:t>
            </w:r>
          </w:p>
        </w:tc>
      </w:tr>
    </w:tbl>
    <w:p w:rsidR="00000000" w:rsidDel="00000000" w:rsidP="00000000" w:rsidRDefault="00000000" w:rsidRPr="00000000" w14:paraId="0000023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4.3 – Основная навигация (Main Tab Bar)</w:t>
      </w:r>
    </w:p>
    <w:p w:rsidR="00000000" w:rsidDel="00000000" w:rsidP="00000000" w:rsidRDefault="00000000" w:rsidRPr="00000000" w14:paraId="0000023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Навигация магазина (Shop Tab Bar)</w:t>
      </w:r>
    </w:p>
    <w:p w:rsidR="00000000" w:rsidDel="00000000" w:rsidP="00000000" w:rsidRDefault="00000000" w:rsidRPr="00000000" w14:paraId="0000023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нажатии на иконку гема в верхней части экрана (рядом с балансом баллов) происходит: плавный переход на экран каталога товаров, а нижняя панель навигации обновляется и показывает разделы магазина. Теперь видно каталог всех товаров, корзину, историю заказов и профиль для возвращения в личный кабинет.</w:t>
      </w:r>
    </w:p>
    <w:tbl>
      <w:tblPr>
        <w:tblStyle w:val="Table1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3115"/>
        <w:gridCol w:w="3115"/>
        <w:tblGridChange w:id="0">
          <w:tblGrid>
            <w:gridCol w:w="3115"/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Переход</w:t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Тип анимации</w:t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Длительность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Между табами</w:t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Fade + Slide</w:t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250ms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Открытие карточки</w:t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Scale Up (Modal)</w:t>
            </w:r>
          </w:p>
        </w:tc>
        <w:tc>
          <w:tcPr/>
          <w:p w:rsidR="00000000" w:rsidDel="00000000" w:rsidP="00000000" w:rsidRDefault="00000000" w:rsidRPr="00000000" w14:paraId="0000024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300ms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Возврат назад</w:t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Slide Right</w:t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250ms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Подтверждение действия</w:t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Pulse + Color Change</w:t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200ms</w:t>
            </w:r>
          </w:p>
        </w:tc>
      </w:tr>
    </w:tbl>
    <w:p w:rsidR="00000000" w:rsidDel="00000000" w:rsidP="00000000" w:rsidRDefault="00000000" w:rsidRPr="00000000" w14:paraId="0000024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4.4 – Типы переходов между экранами</w:t>
      </w:r>
    </w:p>
    <w:p w:rsidR="00000000" w:rsidDel="00000000" w:rsidP="00000000" w:rsidRDefault="00000000" w:rsidRPr="00000000" w14:paraId="0000024B">
      <w:pPr>
        <w:pStyle w:val="Heading3"/>
        <w:rPr/>
      </w:pPr>
      <w:bookmarkStart w:colFirst="0" w:colLast="0" w:name="_bkmuk0o24tqn" w:id="46"/>
      <w:bookmarkEnd w:id="46"/>
      <w:r w:rsidDel="00000000" w:rsidR="00000000" w:rsidRPr="00000000">
        <w:rPr>
          <w:rtl w:val="0"/>
        </w:rPr>
        <w:t xml:space="preserve">4.2.3 Цветовая схема и типографика</w:t>
      </w:r>
    </w:p>
    <w:p w:rsidR="00000000" w:rsidDel="00000000" w:rsidP="00000000" w:rsidRDefault="00000000" w:rsidRPr="00000000" w14:paraId="0000024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Цветовая палитра (Design Tokens) </w:t>
      </w:r>
    </w:p>
    <w:tbl>
      <w:tblPr>
        <w:tblStyle w:val="Table11"/>
        <w:tblW w:w="93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5"/>
        <w:gridCol w:w="1700"/>
        <w:gridCol w:w="2351"/>
        <w:gridCol w:w="2803"/>
        <w:tblGridChange w:id="0">
          <w:tblGrid>
            <w:gridCol w:w="2495"/>
            <w:gridCol w:w="1700"/>
            <w:gridCol w:w="2351"/>
            <w:gridCol w:w="28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Токен</w:t>
            </w:r>
          </w:p>
        </w:tc>
        <w:tc>
          <w:tcPr/>
          <w:p w:rsidR="00000000" w:rsidDel="00000000" w:rsidP="00000000" w:rsidRDefault="00000000" w:rsidRPr="00000000" w14:paraId="000002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Hex</w:t>
            </w:r>
          </w:p>
        </w:tc>
        <w:tc>
          <w:tcPr/>
          <w:p w:rsidR="00000000" w:rsidDel="00000000" w:rsidP="00000000" w:rsidRDefault="00000000" w:rsidRPr="00000000" w14:paraId="000002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Назначение</w:t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Пример использования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background.primary</w:t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#062B42</w:t>
            </w:r>
          </w:p>
        </w:tc>
        <w:tc>
          <w:tcPr/>
          <w:p w:rsidR="00000000" w:rsidDel="00000000" w:rsidP="00000000" w:rsidRDefault="00000000" w:rsidRPr="00000000" w14:paraId="000002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Основной фон экранов</w:t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Все экраны приложения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surface.card</w:t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#FAEFD9</w:t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Фон карточек, панелей</w:t>
            </w:r>
          </w:p>
        </w:tc>
        <w:tc>
          <w:tcPr/>
          <w:p w:rsidR="00000000" w:rsidDel="00000000" w:rsidP="00000000" w:rsidRDefault="00000000" w:rsidRPr="00000000" w14:paraId="000002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Карточки товаров, навигационная панель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text.primary.dark</w:t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#062B42</w:t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Текст на светлом фоне</w:t>
            </w:r>
          </w:p>
        </w:tc>
        <w:tc>
          <w:tcPr/>
          <w:p w:rsidR="00000000" w:rsidDel="00000000" w:rsidP="00000000" w:rsidRDefault="00000000" w:rsidRPr="00000000" w14:paraId="000002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Текст в меню, на карточках товаров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text.primary.light</w:t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#FAEFD9</w:t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Текст на тёмном фоне</w:t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Заголовки, основной контент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accent.brand</w:t>
            </w:r>
          </w:p>
        </w:tc>
        <w:tc>
          <w:tcPr/>
          <w:p w:rsidR="00000000" w:rsidDel="00000000" w:rsidP="00000000" w:rsidRDefault="00000000" w:rsidRPr="00000000" w14:paraId="000002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#D8CCFF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Брендовый акцент</w:t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Активные состояния, графики, кнопка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accent.action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#CDFBE4</w:t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Призыв к действию (CTA)</w:t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Кнопки Login, Save, Finish, Buy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accent.secondary</w:t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#456978</w:t>
            </w:r>
          </w:p>
        </w:tc>
        <w:tc>
          <w:tcPr/>
          <w:p w:rsidR="00000000" w:rsidDel="00000000" w:rsidP="00000000" w:rsidRDefault="00000000" w:rsidRPr="00000000" w14:paraId="000002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Второстепенные элементы</w:t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Сетки графиков, разделители, иконки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effect.glow</w:t>
            </w:r>
          </w:p>
        </w:tc>
        <w:tc>
          <w:tcPr/>
          <w:p w:rsidR="00000000" w:rsidDel="00000000" w:rsidP="00000000" w:rsidRDefault="00000000" w:rsidRPr="00000000" w14:paraId="000002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#CDFBE4 (40%)</w:t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Эффект свечения</w:t>
            </w:r>
          </w:p>
        </w:tc>
        <w:tc>
          <w:tcPr/>
          <w:p w:rsidR="00000000" w:rsidDel="00000000" w:rsidP="00000000" w:rsidRDefault="00000000" w:rsidRPr="00000000" w14:paraId="000002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Кнопки, активные карточки</w:t>
            </w:r>
          </w:p>
        </w:tc>
      </w:tr>
    </w:tbl>
    <w:p w:rsidR="00000000" w:rsidDel="00000000" w:rsidP="00000000" w:rsidRDefault="00000000" w:rsidRPr="00000000" w14:paraId="0000027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4.5 – Цветовая палитра приложения</w:t>
      </w:r>
    </w:p>
    <w:tbl>
      <w:tblPr>
        <w:tblStyle w:val="Table1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6"/>
        <w:gridCol w:w="2336"/>
        <w:gridCol w:w="2336"/>
        <w:gridCol w:w="2337"/>
        <w:tblGridChange w:id="0">
          <w:tblGrid>
            <w:gridCol w:w="2336"/>
            <w:gridCol w:w="2336"/>
            <w:gridCol w:w="2336"/>
            <w:gridCol w:w="23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Шрифт</w:t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Назначение</w:t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Язык</w:t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Начертания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Stalinist One</w:t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Заголовки, логотип</w:t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</w:t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Regular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Tomorrow</w:t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Основной текст, UI-элементы</w:t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</w:t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Regular, Medium, Bold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Cornerita-Regular</w:t>
            </w:r>
          </w:p>
        </w:tc>
        <w:tc>
          <w:tcPr/>
          <w:p w:rsidR="00000000" w:rsidDel="00000000" w:rsidP="00000000" w:rsidRDefault="00000000" w:rsidRPr="00000000" w14:paraId="0000027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Основной текст, UI-элементы</w:t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</w:t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Regular</w:t>
            </w:r>
          </w:p>
        </w:tc>
      </w:tr>
    </w:tbl>
    <w:p w:rsidR="00000000" w:rsidDel="00000000" w:rsidP="00000000" w:rsidRDefault="00000000" w:rsidRPr="00000000" w14:paraId="0000028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4.6 – Шрифты</w:t>
      </w:r>
    </w:p>
    <w:tbl>
      <w:tblPr>
        <w:tblStyle w:val="Table1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1559"/>
        <w:gridCol w:w="1701"/>
        <w:gridCol w:w="2552"/>
        <w:gridCol w:w="2120"/>
        <w:tblGridChange w:id="0">
          <w:tblGrid>
            <w:gridCol w:w="1413"/>
            <w:gridCol w:w="1559"/>
            <w:gridCol w:w="1701"/>
            <w:gridCol w:w="2552"/>
            <w:gridCol w:w="2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Уровень</w:t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Размер (pt)</w:t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Line Height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Шрифт</w:t>
            </w:r>
          </w:p>
        </w:tc>
        <w:tc>
          <w:tcPr/>
          <w:p w:rsidR="00000000" w:rsidDel="00000000" w:rsidP="00000000" w:rsidRDefault="00000000" w:rsidRPr="00000000" w14:paraId="0000028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Display</w:t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32-36</w:t>
            </w:r>
          </w:p>
        </w:tc>
        <w:tc>
          <w:tcPr/>
          <w:p w:rsidR="00000000" w:rsidDel="00000000" w:rsidP="00000000" w:rsidRDefault="00000000" w:rsidRPr="00000000" w14:paraId="0000028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Stalinist One</w:t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Логотип «CodHammer»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H1</w:t>
            </w:r>
          </w:p>
        </w:tc>
        <w:tc>
          <w:tcPr/>
          <w:p w:rsidR="00000000" w:rsidDel="00000000" w:rsidP="00000000" w:rsidRDefault="00000000" w:rsidRPr="00000000" w14:paraId="0000028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24-28</w:t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Stalinist One</w:t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Заголовки экранов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H2</w:t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20-22</w:t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Tomorrow/Cornerita</w:t>
            </w:r>
          </w:p>
        </w:tc>
        <w:tc>
          <w:tcPr/>
          <w:p w:rsidR="00000000" w:rsidDel="00000000" w:rsidP="00000000" w:rsidRDefault="00000000" w:rsidRPr="00000000" w14:paraId="0000029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Заголовки карточек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Body</w:t>
            </w:r>
          </w:p>
        </w:tc>
        <w:tc>
          <w:tcPr/>
          <w:p w:rsidR="00000000" w:rsidDel="00000000" w:rsidP="00000000" w:rsidRDefault="00000000" w:rsidRPr="00000000" w14:paraId="0000029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16-18</w:t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Tomorrow/Cornerita</w:t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Основной текст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Caption</w:t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12-14</w:t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Tomorrow/Cornerita</w:t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Подписи, мета-информация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16-18</w:t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Tomorrow</w:t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Текст на кнопках</w:t>
            </w:r>
          </w:p>
        </w:tc>
      </w:tr>
    </w:tbl>
    <w:p w:rsidR="00000000" w:rsidDel="00000000" w:rsidP="00000000" w:rsidRDefault="00000000" w:rsidRPr="00000000" w14:paraId="000002A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4.7 – Иерархия шрифтов</w:t>
      </w:r>
    </w:p>
    <w:p w:rsidR="00000000" w:rsidDel="00000000" w:rsidP="00000000" w:rsidRDefault="00000000" w:rsidRPr="00000000" w14:paraId="000002A7">
      <w:pPr>
        <w:pStyle w:val="Heading3"/>
        <w:rPr/>
      </w:pPr>
      <w:bookmarkStart w:colFirst="0" w:colLast="0" w:name="_319junnypoj7" w:id="47"/>
      <w:bookmarkEnd w:id="47"/>
      <w:r w:rsidDel="00000000" w:rsidR="00000000" w:rsidRPr="00000000">
        <w:rPr>
          <w:rtl w:val="0"/>
        </w:rPr>
        <w:t xml:space="preserve">4.2.4 Ключевые экраны приложения</w:t>
      </w:r>
    </w:p>
    <w:p w:rsidR="00000000" w:rsidDel="00000000" w:rsidP="00000000" w:rsidRDefault="00000000" w:rsidRPr="00000000" w14:paraId="000002A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Экран “Календарь событий”. Представляет собой интерактивный календарь с отображением мероприятий в виде карточек. Каждая карточка содержит название, дату, тип события и кнопку регистрации. Реализована фильтрация по типам событий (конференции, хакатоны, мастер-классы).</w:t>
      </w:r>
    </w:p>
    <w:p w:rsidR="00000000" w:rsidDel="00000000" w:rsidP="00000000" w:rsidRDefault="00000000" w:rsidRPr="00000000" w14:paraId="000002A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Экран “Опросы”. Список активных опросов с индикатором прогресса. При открытии опроса пользователь видит опросы с вариантами ответов. После отправки ответов отображается подтверждение с информацией о начисленных баллах.</w:t>
      </w:r>
    </w:p>
    <w:p w:rsidR="00000000" w:rsidDel="00000000" w:rsidP="00000000" w:rsidRDefault="00000000" w:rsidRPr="00000000" w14:paraId="000002A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Экран “Ставки”. Агрегатор спортивных мероприятий, связанные с битвой роботов, с возможностью размещения прогнозов. Пользователь видит коэффициент ставки, потенциальный выигрыш и может подтвердить ставку списанием баллов.</w:t>
      </w:r>
    </w:p>
    <w:p w:rsidR="00000000" w:rsidDel="00000000" w:rsidP="00000000" w:rsidRDefault="00000000" w:rsidRPr="00000000" w14:paraId="000002A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Экран “Магазин”. Список доступных товаров для покупки за баллы внутри приложения, также содержит страницу “Корзина” для просмотра выбранных товаров перед покупкой. Пользователь может подтвердить покупку и за это будут списаны баллы с его счёта.</w:t>
      </w:r>
    </w:p>
    <w:p w:rsidR="00000000" w:rsidDel="00000000" w:rsidP="00000000" w:rsidRDefault="00000000" w:rsidRPr="00000000" w14:paraId="000002A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Экран “Профиль”. Содержит личную информацию пользователя, статистику активности (опросы, хакатоны, посещаемость), баланс баллов. Реализована функция экспорта портфолио в формате PDF.</w:t>
      </w:r>
    </w:p>
    <w:p w:rsidR="00000000" w:rsidDel="00000000" w:rsidP="00000000" w:rsidRDefault="00000000" w:rsidRPr="00000000" w14:paraId="000002AD">
      <w:pPr>
        <w:spacing w:after="160" w:line="259" w:lineRule="auto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rPr/>
      </w:pPr>
      <w:bookmarkStart w:colFirst="0" w:colLast="0" w:name="_ktmxp56xbbgl" w:id="48"/>
      <w:bookmarkEnd w:id="48"/>
      <w:r w:rsidDel="00000000" w:rsidR="00000000" w:rsidRPr="00000000">
        <w:rPr>
          <w:rtl w:val="0"/>
        </w:rPr>
        <w:t xml:space="preserve">4.3 Описание процесса разработки</w:t>
      </w:r>
    </w:p>
    <w:p w:rsidR="00000000" w:rsidDel="00000000" w:rsidP="00000000" w:rsidRDefault="00000000" w:rsidRPr="00000000" w14:paraId="000002AF">
      <w:pPr>
        <w:pStyle w:val="Heading3"/>
        <w:rPr/>
      </w:pPr>
      <w:bookmarkStart w:colFirst="0" w:colLast="0" w:name="_t5w3psaif0tp" w:id="49"/>
      <w:bookmarkEnd w:id="49"/>
      <w:r w:rsidDel="00000000" w:rsidR="00000000" w:rsidRPr="00000000">
        <w:rPr>
          <w:rtl w:val="0"/>
        </w:rPr>
        <w:t xml:space="preserve">4.3.1 Этапы разработки</w:t>
      </w:r>
    </w:p>
    <w:p w:rsidR="00000000" w:rsidDel="00000000" w:rsidP="00000000" w:rsidRDefault="00000000" w:rsidRPr="00000000" w14:paraId="000002B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Разработка проекта осуществлялась в соответствии с методологией Agile/Scrum с двухнедельными спринтами. Основные этапы представлены в таблице 4.3.</w:t>
      </w:r>
    </w:p>
    <w:tbl>
      <w:tblPr>
        <w:tblStyle w:val="Table14"/>
        <w:tblW w:w="93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8"/>
        <w:gridCol w:w="2320"/>
        <w:gridCol w:w="2213"/>
        <w:gridCol w:w="2688"/>
        <w:tblGridChange w:id="0">
          <w:tblGrid>
            <w:gridCol w:w="2128"/>
            <w:gridCol w:w="2320"/>
            <w:gridCol w:w="2213"/>
            <w:gridCol w:w="26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№ п.п.</w:t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Этап</w:t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Сроки</w:t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Проектирование архитектуры</w:t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Сентябрь 2025</w:t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ERD-диаграмма, спецификация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Разработка Backend (MVP)</w:t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Декабрь 2025</w:t>
            </w:r>
          </w:p>
        </w:tc>
        <w:tc>
          <w:tcPr/>
          <w:p w:rsidR="00000000" w:rsidDel="00000000" w:rsidP="00000000" w:rsidRDefault="00000000" w:rsidRPr="00000000" w14:paraId="000002B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Рабочий API сервер с базовой функциональностью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B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Разработка Frontend (MVP)</w:t>
            </w:r>
          </w:p>
        </w:tc>
        <w:tc>
          <w:tcPr/>
          <w:p w:rsidR="00000000" w:rsidDel="00000000" w:rsidP="00000000" w:rsidRDefault="00000000" w:rsidRPr="00000000" w14:paraId="000002B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Январь 2026</w:t>
            </w:r>
          </w:p>
        </w:tc>
        <w:tc>
          <w:tcPr/>
          <w:p w:rsidR="00000000" w:rsidDel="00000000" w:rsidP="00000000" w:rsidRDefault="00000000" w:rsidRPr="00000000" w14:paraId="000002C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Мобильное приложение с основными экранами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Интеграция компонентов</w:t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Февраль 2026</w:t>
            </w:r>
          </w:p>
        </w:tc>
        <w:tc>
          <w:tcPr/>
          <w:p w:rsidR="00000000" w:rsidDel="00000000" w:rsidP="00000000" w:rsidRDefault="00000000" w:rsidRPr="00000000" w14:paraId="000002C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Полностью работающая система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C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Тестирование и отладка</w:t>
            </w:r>
          </w:p>
        </w:tc>
        <w:tc>
          <w:tcPr/>
          <w:p w:rsidR="00000000" w:rsidDel="00000000" w:rsidP="00000000" w:rsidRDefault="00000000" w:rsidRPr="00000000" w14:paraId="000002C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Март-Апрель 2026</w:t>
            </w:r>
          </w:p>
        </w:tc>
        <w:tc>
          <w:tcPr/>
          <w:p w:rsidR="00000000" w:rsidDel="00000000" w:rsidP="00000000" w:rsidRDefault="00000000" w:rsidRPr="00000000" w14:paraId="000002C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Исправление ошибок, оптимизация производительности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C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Подготовка к релизу</w:t>
            </w:r>
          </w:p>
        </w:tc>
        <w:tc>
          <w:tcPr/>
          <w:p w:rsidR="00000000" w:rsidDel="00000000" w:rsidP="00000000" w:rsidRDefault="00000000" w:rsidRPr="00000000" w14:paraId="000002C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Май 2026</w:t>
            </w:r>
          </w:p>
        </w:tc>
        <w:tc>
          <w:tcPr/>
          <w:p w:rsidR="00000000" w:rsidDel="00000000" w:rsidP="00000000" w:rsidRDefault="00000000" w:rsidRPr="00000000" w14:paraId="000002C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Документация, деплой на продакшн</w:t>
            </w:r>
          </w:p>
        </w:tc>
      </w:tr>
    </w:tbl>
    <w:p w:rsidR="00000000" w:rsidDel="00000000" w:rsidP="00000000" w:rsidRDefault="00000000" w:rsidRPr="00000000" w14:paraId="000002CD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Таблица 4.3 – Этапы разработки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60" w:line="259" w:lineRule="auto"/>
        <w:rPr>
          <w:b w:val="1"/>
          <w:bCs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rPr/>
      </w:pPr>
      <w:bookmarkStart w:colFirst="0" w:colLast="0" w:name="_m7mhkh4q91gt" w:id="50"/>
      <w:bookmarkEnd w:id="50"/>
      <w:r w:rsidDel="00000000" w:rsidR="00000000" w:rsidRPr="00000000">
        <w:rPr>
          <w:rtl w:val="0"/>
        </w:rPr>
        <w:t xml:space="preserve">ГЛАВА 5. Экономическое обоснование</w:t>
      </w:r>
    </w:p>
    <w:p w:rsidR="00000000" w:rsidDel="00000000" w:rsidP="00000000" w:rsidRDefault="00000000" w:rsidRPr="00000000" w14:paraId="000002D1">
      <w:pPr>
        <w:pStyle w:val="Heading2"/>
        <w:rPr/>
      </w:pPr>
      <w:bookmarkStart w:colFirst="0" w:colLast="0" w:name="_c72easjez9wh" w:id="51"/>
      <w:bookmarkEnd w:id="51"/>
      <w:r w:rsidDel="00000000" w:rsidR="00000000" w:rsidRPr="00000000">
        <w:rPr>
          <w:rtl w:val="0"/>
        </w:rPr>
        <w:t xml:space="preserve">5.1 Исходные допущения и методологические основы моделирования</w:t>
      </w:r>
    </w:p>
    <w:p w:rsidR="00000000" w:rsidDel="00000000" w:rsidP="00000000" w:rsidRDefault="00000000" w:rsidRPr="00000000" w14:paraId="000002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Экономическое обоснование стартап-проекта требует системного подхода, основанного на проверенных методиках финансового анализа и верифицированных рыночных данных. В основе финансовой модели CodHammer лежит принцип консервативного прогнозирования, соответствующий рекомендациям Smart Ranking для ранних EdTech-стартапов в условиях высокой ключевой ставки и сжатия инвестиционного рынка в 2024–2025 годах.</w:t>
      </w:r>
      <w:r w:rsidDel="00000000" w:rsidR="00000000" w:rsidRPr="00000000">
        <w:rPr>
          <w:rtl w:val="0"/>
        </w:rPr>
      </w:r>
    </w:p>
    <w:tbl>
      <w:tblPr>
        <w:tblStyle w:val="Table15"/>
        <w:tblW w:w="93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9"/>
        <w:gridCol w:w="1870"/>
        <w:gridCol w:w="1870"/>
        <w:gridCol w:w="1870"/>
        <w:gridCol w:w="1870"/>
        <w:tblGridChange w:id="0">
          <w:tblGrid>
            <w:gridCol w:w="1869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Показатель</w:t>
            </w:r>
          </w:p>
        </w:tc>
        <w:tc>
          <w:tcPr/>
          <w:p w:rsidR="00000000" w:rsidDel="00000000" w:rsidP="00000000" w:rsidRDefault="00000000" w:rsidRPr="00000000" w14:paraId="000002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2024 год</w:t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2025 год</w:t>
            </w:r>
          </w:p>
        </w:tc>
        <w:tc>
          <w:tcPr/>
          <w:p w:rsidR="00000000" w:rsidDel="00000000" w:rsidP="00000000" w:rsidRDefault="00000000" w:rsidRPr="00000000" w14:paraId="000002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Прогноз 2026</w:t>
            </w:r>
          </w:p>
        </w:tc>
        <w:tc>
          <w:tcPr/>
          <w:p w:rsidR="00000000" w:rsidDel="00000000" w:rsidP="00000000" w:rsidRDefault="00000000" w:rsidRPr="00000000" w14:paraId="000002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Источник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Объём рынка, млрд руб.</w:t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149</w:t>
            </w:r>
          </w:p>
        </w:tc>
        <w:tc>
          <w:tcPr/>
          <w:p w:rsidR="00000000" w:rsidDel="00000000" w:rsidP="00000000" w:rsidRDefault="00000000" w:rsidRPr="00000000" w14:paraId="000002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167*</w:t>
            </w:r>
          </w:p>
        </w:tc>
        <w:tc>
          <w:tcPr/>
          <w:p w:rsidR="00000000" w:rsidDel="00000000" w:rsidP="00000000" w:rsidRDefault="00000000" w:rsidRPr="00000000" w14:paraId="000002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185</w:t>
            </w:r>
          </w:p>
        </w:tc>
        <w:tc>
          <w:tcPr/>
          <w:p w:rsidR="00000000" w:rsidDel="00000000" w:rsidP="00000000" w:rsidRDefault="00000000" w:rsidRPr="00000000" w14:paraId="000002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BusinesStat, Smart Ranking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Темп роста, %</w:t>
            </w:r>
          </w:p>
        </w:tc>
        <w:tc>
          <w:tcPr/>
          <w:p w:rsidR="00000000" w:rsidDel="00000000" w:rsidP="00000000" w:rsidRDefault="00000000" w:rsidRPr="00000000" w14:paraId="000002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21%</w:t>
            </w:r>
          </w:p>
        </w:tc>
        <w:tc>
          <w:tcPr/>
          <w:p w:rsidR="00000000" w:rsidDel="00000000" w:rsidP="00000000" w:rsidRDefault="00000000" w:rsidRPr="00000000" w14:paraId="000002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12%</w:t>
            </w:r>
          </w:p>
        </w:tc>
        <w:tc>
          <w:tcPr/>
          <w:p w:rsidR="00000000" w:rsidDel="00000000" w:rsidP="00000000" w:rsidRDefault="00000000" w:rsidRPr="00000000" w14:paraId="000002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10–11%</w:t>
            </w:r>
          </w:p>
        </w:tc>
        <w:tc>
          <w:tcPr/>
          <w:p w:rsidR="00000000" w:rsidDel="00000000" w:rsidP="00000000" w:rsidRDefault="00000000" w:rsidRPr="00000000" w14:paraId="000002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Smart Ranking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Инвестиции в стартапы, $ млрд</w:t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2,9</w:t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2,7–2,8</w:t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2,5–3,0</w:t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EdTechs.ru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Доля B2B-сегмента, %</w:t>
            </w:r>
          </w:p>
        </w:tc>
        <w:tc>
          <w:tcPr/>
          <w:p w:rsidR="00000000" w:rsidDel="00000000" w:rsidP="00000000" w:rsidRDefault="00000000" w:rsidRPr="00000000" w14:paraId="000002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34%</w:t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38%</w:t>
            </w:r>
          </w:p>
        </w:tc>
        <w:tc>
          <w:tcPr/>
          <w:p w:rsidR="00000000" w:rsidDel="00000000" w:rsidP="00000000" w:rsidRDefault="00000000" w:rsidRPr="00000000" w14:paraId="000002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42%</w:t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Smart Ranking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Средняя стоимость привлечения клиента, руб.</w:t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3 500</w:t>
            </w:r>
          </w:p>
        </w:tc>
        <w:tc>
          <w:tcPr/>
          <w:p w:rsidR="00000000" w:rsidDel="00000000" w:rsidP="00000000" w:rsidRDefault="00000000" w:rsidRPr="00000000" w14:paraId="000002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4 200</w:t>
            </w:r>
          </w:p>
        </w:tc>
        <w:tc>
          <w:tcPr/>
          <w:p w:rsidR="00000000" w:rsidDel="00000000" w:rsidP="00000000" w:rsidRDefault="00000000" w:rsidRPr="00000000" w14:paraId="000002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4 800</w:t>
            </w:r>
          </w:p>
        </w:tc>
        <w:tc>
          <w:tcPr/>
          <w:p w:rsidR="00000000" w:rsidDel="00000000" w:rsidP="00000000" w:rsidRDefault="00000000" w:rsidRPr="00000000" w14:paraId="000002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RBC Trends</w:t>
            </w:r>
          </w:p>
        </w:tc>
      </w:tr>
    </w:tbl>
    <w:p w:rsidR="00000000" w:rsidDel="00000000" w:rsidP="00000000" w:rsidRDefault="00000000" w:rsidRPr="00000000" w14:paraId="000002F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5.1 — Макроэкономические параметры рынка EdTech в России</w:t>
      </w:r>
    </w:p>
    <w:p w:rsidR="00000000" w:rsidDel="00000000" w:rsidP="00000000" w:rsidRDefault="00000000" w:rsidRPr="00000000" w14:paraId="000002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таблице 5.1 показана основная картина: рынок EdTech переходит от экстенсивного роста к модели интенсивного развития, в которой операционная эффективность становится решающим фактором выживания. Согласно исследованию РБК Trends (2025), компании с моделью монетизации B2B показали на 15% большую устойчивость к колебаниям рынка, чем проекты B2C, что оправдывает стратегический выбор CodHammer в пользу корпоративных партнеров в качестве основного источника дохода.</w:t>
      </w:r>
    </w:p>
    <w:p w:rsidR="00000000" w:rsidDel="00000000" w:rsidP="00000000" w:rsidRDefault="00000000" w:rsidRPr="00000000" w14:paraId="000002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оценки стартапа берем срок в год, это оценка берет начало из методологии Smart Ranking. На основе исследований «Авито Услуги» 2025 и общего анализа рыночных аналогов выявлен средний чек HR-рекламы в 25000-35000 рублей в сегменте образования.</w:t>
      </w:r>
    </w:p>
    <w:p w:rsidR="00000000" w:rsidDel="00000000" w:rsidP="00000000" w:rsidRDefault="00000000" w:rsidRPr="00000000" w14:paraId="000002F4">
      <w:pPr>
        <w:pStyle w:val="Heading2"/>
        <w:rPr/>
      </w:pPr>
      <w:bookmarkStart w:colFirst="0" w:colLast="0" w:name="_69nb1ns41eu" w:id="52"/>
      <w:bookmarkEnd w:id="52"/>
      <w:r w:rsidDel="00000000" w:rsidR="00000000" w:rsidRPr="00000000">
        <w:rPr>
          <w:rtl w:val="0"/>
        </w:rPr>
        <w:t xml:space="preserve">5.2 Структура затрат и анализ операционного рычага</w:t>
      </w:r>
    </w:p>
    <w:p w:rsidR="00000000" w:rsidDel="00000000" w:rsidP="00000000" w:rsidRDefault="00000000" w:rsidRPr="00000000" w14:paraId="000002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основе классификации расходов лежат постоянные и переменные затраты. Такое разграничение имеет важное значение для расчета точки безубыточности и оценки операционного рычага.</w:t>
      </w:r>
    </w:p>
    <w:tbl>
      <w:tblPr>
        <w:tblStyle w:val="Table16"/>
        <w:tblW w:w="934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7"/>
        <w:gridCol w:w="2337"/>
        <w:gridCol w:w="2337"/>
        <w:gridCol w:w="2338"/>
        <w:tblGridChange w:id="0">
          <w:tblGrid>
            <w:gridCol w:w="2337"/>
            <w:gridCol w:w="2337"/>
            <w:gridCol w:w="2337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Статья расходов</w:t>
            </w:r>
          </w:p>
        </w:tc>
        <w:tc>
          <w:tcPr/>
          <w:p w:rsidR="00000000" w:rsidDel="00000000" w:rsidP="00000000" w:rsidRDefault="00000000" w:rsidRPr="00000000" w14:paraId="000002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Сумма, руб./мес.</w:t>
            </w:r>
          </w:p>
        </w:tc>
        <w:tc>
          <w:tcPr/>
          <w:p w:rsidR="00000000" w:rsidDel="00000000" w:rsidP="00000000" w:rsidRDefault="00000000" w:rsidRPr="00000000" w14:paraId="000002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Доля в постоянных затратах, %</w:t>
            </w:r>
          </w:p>
        </w:tc>
        <w:tc>
          <w:tcPr/>
          <w:p w:rsidR="00000000" w:rsidDel="00000000" w:rsidP="00000000" w:rsidRDefault="00000000" w:rsidRPr="00000000" w14:paraId="000002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Экономическое обоснование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Фонд оплаты труда</w:t>
            </w:r>
          </w:p>
        </w:tc>
        <w:tc>
          <w:tcPr/>
          <w:p w:rsidR="00000000" w:rsidDel="00000000" w:rsidP="00000000" w:rsidRDefault="00000000" w:rsidRPr="00000000" w14:paraId="000002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320 000</w:t>
            </w:r>
          </w:p>
        </w:tc>
        <w:tc>
          <w:tcPr/>
          <w:p w:rsidR="00000000" w:rsidDel="00000000" w:rsidP="00000000" w:rsidRDefault="00000000" w:rsidRPr="00000000" w14:paraId="000002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91,2%</w:t>
            </w:r>
          </w:p>
        </w:tc>
        <w:tc>
          <w:tcPr/>
          <w:p w:rsidR="00000000" w:rsidDel="00000000" w:rsidP="00000000" w:rsidRDefault="00000000" w:rsidRPr="00000000" w14:paraId="000002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Рыночный уровень компенсаций для IT-специалистов (HH.ru, 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Инфраструктура (облако)</w:t>
            </w:r>
          </w:p>
        </w:tc>
        <w:tc>
          <w:tcPr/>
          <w:p w:rsidR="00000000" w:rsidDel="00000000" w:rsidP="00000000" w:rsidRDefault="00000000" w:rsidRPr="00000000" w14:paraId="000002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1 000</w:t>
            </w:r>
          </w:p>
        </w:tc>
        <w:tc>
          <w:tcPr/>
          <w:p w:rsidR="00000000" w:rsidDel="00000000" w:rsidP="00000000" w:rsidRDefault="00000000" w:rsidRPr="00000000" w14:paraId="000003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0,3%</w:t>
            </w:r>
          </w:p>
        </w:tc>
        <w:tc>
          <w:tcPr/>
          <w:p w:rsidR="00000000" w:rsidDel="00000000" w:rsidP="00000000" w:rsidRDefault="00000000" w:rsidRPr="00000000" w14:paraId="000003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Минимальная конфигурация для MVP (Yandex Cloud тарифы)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Программное обеспечение</w:t>
            </w:r>
          </w:p>
        </w:tc>
        <w:tc>
          <w:tcPr/>
          <w:p w:rsidR="00000000" w:rsidDel="00000000" w:rsidP="00000000" w:rsidRDefault="00000000" w:rsidRPr="00000000" w14:paraId="000003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15 000</w:t>
            </w:r>
          </w:p>
        </w:tc>
        <w:tc>
          <w:tcPr/>
          <w:p w:rsidR="00000000" w:rsidDel="00000000" w:rsidP="00000000" w:rsidRDefault="00000000" w:rsidRPr="00000000" w14:paraId="000003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4,3%</w:t>
            </w:r>
          </w:p>
        </w:tc>
        <w:tc>
          <w:tcPr/>
          <w:p w:rsidR="00000000" w:rsidDel="00000000" w:rsidP="00000000" w:rsidRDefault="00000000" w:rsidRPr="00000000" w14:paraId="000003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Лицензии на сервисы совместной работы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Юридическое и бухгалтерское сопровождение</w:t>
            </w:r>
          </w:p>
        </w:tc>
        <w:tc>
          <w:tcPr/>
          <w:p w:rsidR="00000000" w:rsidDel="00000000" w:rsidP="00000000" w:rsidRDefault="00000000" w:rsidRPr="00000000" w14:paraId="000003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15 000</w:t>
            </w:r>
          </w:p>
        </w:tc>
        <w:tc>
          <w:tcPr/>
          <w:p w:rsidR="00000000" w:rsidDel="00000000" w:rsidP="00000000" w:rsidRDefault="00000000" w:rsidRPr="00000000" w14:paraId="000003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4,3%</w:t>
            </w:r>
          </w:p>
        </w:tc>
        <w:tc>
          <w:tcPr/>
          <w:p w:rsidR="00000000" w:rsidDel="00000000" w:rsidP="00000000" w:rsidRDefault="00000000" w:rsidRPr="00000000" w14:paraId="000003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Аутсорсинг по рыночным ставкам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Итого постоянные затраты</w:t>
            </w:r>
          </w:p>
        </w:tc>
        <w:tc>
          <w:tcPr/>
          <w:p w:rsidR="00000000" w:rsidDel="00000000" w:rsidP="00000000" w:rsidRDefault="00000000" w:rsidRPr="00000000" w14:paraId="000003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351 000</w:t>
            </w:r>
          </w:p>
        </w:tc>
        <w:tc>
          <w:tcPr/>
          <w:p w:rsidR="00000000" w:rsidDel="00000000" w:rsidP="00000000" w:rsidRDefault="00000000" w:rsidRPr="00000000" w14:paraId="000003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3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0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5.2 — Структура постоянных затрат проекта</w:t>
      </w:r>
    </w:p>
    <w:p w:rsidR="00000000" w:rsidDel="00000000" w:rsidP="00000000" w:rsidRDefault="00000000" w:rsidRPr="00000000" w14:paraId="000003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Ключевая постоянная затрата формируется фондом оплаты труда, что часто встречается в IT проектах на первых этапах. Также эту закономерность выявили МГУ в 2024 году, что ФОТ составляет от 85 до 95 процентов от затрат на технологические проекты, это дополнительно подтверждает корректность принятой модели.</w:t>
      </w:r>
    </w:p>
    <w:tbl>
      <w:tblPr>
        <w:tblStyle w:val="Table17"/>
        <w:tblW w:w="93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6"/>
        <w:gridCol w:w="2333"/>
        <w:gridCol w:w="2331"/>
        <w:gridCol w:w="2349"/>
        <w:tblGridChange w:id="0">
          <w:tblGrid>
            <w:gridCol w:w="2336"/>
            <w:gridCol w:w="2333"/>
            <w:gridCol w:w="2331"/>
            <w:gridCol w:w="23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Канал дохода</w:t>
            </w:r>
          </w:p>
        </w:tc>
        <w:tc>
          <w:tcPr/>
          <w:p w:rsidR="00000000" w:rsidDel="00000000" w:rsidP="00000000" w:rsidRDefault="00000000" w:rsidRPr="00000000" w14:paraId="000003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Переменные затраты на единицу</w:t>
            </w:r>
          </w:p>
        </w:tc>
        <w:tc>
          <w:tcPr/>
          <w:p w:rsidR="00000000" w:rsidDel="00000000" w:rsidP="00000000" w:rsidRDefault="00000000" w:rsidRPr="00000000" w14:paraId="000003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Доля в выручке, %</w:t>
            </w:r>
          </w:p>
        </w:tc>
        <w:tc>
          <w:tcPr/>
          <w:p w:rsidR="00000000" w:rsidDel="00000000" w:rsidP="00000000" w:rsidRDefault="00000000" w:rsidRPr="00000000" w14:paraId="000003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Маржинальность,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B2B-реклама (слот)</w:t>
            </w:r>
          </w:p>
        </w:tc>
        <w:tc>
          <w:tcPr/>
          <w:p w:rsidR="00000000" w:rsidDel="00000000" w:rsidP="00000000" w:rsidRDefault="00000000" w:rsidRPr="00000000" w14:paraId="000003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1 500 руб. (5% от цены)</w:t>
            </w:r>
          </w:p>
        </w:tc>
        <w:tc>
          <w:tcPr/>
          <w:p w:rsidR="00000000" w:rsidDel="00000000" w:rsidP="00000000" w:rsidRDefault="00000000" w:rsidRPr="00000000" w14:paraId="000003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3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Мерч (единица)</w:t>
            </w:r>
          </w:p>
        </w:tc>
        <w:tc>
          <w:tcPr/>
          <w:p w:rsidR="00000000" w:rsidDel="00000000" w:rsidP="00000000" w:rsidRDefault="00000000" w:rsidRPr="00000000" w14:paraId="000003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500 руб.</w:t>
            </w:r>
          </w:p>
        </w:tc>
        <w:tc>
          <w:tcPr/>
          <w:p w:rsidR="00000000" w:rsidDel="00000000" w:rsidP="00000000" w:rsidRDefault="00000000" w:rsidRPr="00000000" w14:paraId="000003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50%</w:t>
            </w:r>
          </w:p>
        </w:tc>
        <w:tc>
          <w:tcPr/>
          <w:p w:rsidR="00000000" w:rsidDel="00000000" w:rsidP="00000000" w:rsidRDefault="00000000" w:rsidRPr="00000000" w14:paraId="000003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Аналитический отчёт</w:t>
            </w:r>
          </w:p>
        </w:tc>
        <w:tc>
          <w:tcPr/>
          <w:p w:rsidR="00000000" w:rsidDel="00000000" w:rsidP="00000000" w:rsidRDefault="00000000" w:rsidRPr="00000000" w14:paraId="000003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2 000 руб.</w:t>
            </w:r>
          </w:p>
        </w:tc>
        <w:tc>
          <w:tcPr/>
          <w:p w:rsidR="00000000" w:rsidDel="00000000" w:rsidP="00000000" w:rsidRDefault="00000000" w:rsidRPr="00000000" w14:paraId="000003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3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90%</w:t>
            </w:r>
          </w:p>
        </w:tc>
      </w:tr>
    </w:tbl>
    <w:p w:rsidR="00000000" w:rsidDel="00000000" w:rsidP="00000000" w:rsidRDefault="00000000" w:rsidRPr="00000000" w14:paraId="00000320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5.3 — Структура переменных затрат по каналам монетизации</w:t>
      </w:r>
    </w:p>
    <w:p w:rsidR="00000000" w:rsidDel="00000000" w:rsidP="00000000" w:rsidRDefault="00000000" w:rsidRPr="00000000" w14:paraId="000003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Высокая маржинальность, что полностью соответствует экономической политике цифровых платформ. </w:t>
      </w:r>
    </w:p>
    <w:p w:rsidR="00000000" w:rsidDel="00000000" w:rsidP="00000000" w:rsidRDefault="00000000" w:rsidRPr="00000000" w14:paraId="00000322">
      <w:pPr>
        <w:pStyle w:val="Heading2"/>
        <w:rPr/>
      </w:pPr>
      <w:bookmarkStart w:colFirst="0" w:colLast="0" w:name="_w83fukez1fzs" w:id="53"/>
      <w:bookmarkEnd w:id="53"/>
      <w:r w:rsidDel="00000000" w:rsidR="00000000" w:rsidRPr="00000000">
        <w:rPr>
          <w:rtl w:val="0"/>
        </w:rPr>
        <w:t xml:space="preserve">5.3 Архитектура потоков доходов и рыночное позиционирование</w:t>
      </w:r>
    </w:p>
    <w:p w:rsidR="00000000" w:rsidDel="00000000" w:rsidP="00000000" w:rsidRDefault="00000000" w:rsidRPr="00000000" w14:paraId="000003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Модель доходов CodHammer построена на разделенных и разных источниках выручки, что соответствует фундаментальному правилу управления финансовыми рисками. Концентрация доходов в одном канале делает проект уязвимым для рыночных колебаний, тогда как многочисленные потоки обеспечивают устойчивость к изменениям спроса в конкретных сегментах.</w:t>
      </w:r>
    </w:p>
    <w:tbl>
      <w:tblPr>
        <w:tblStyle w:val="Table18"/>
        <w:tblW w:w="934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7"/>
        <w:gridCol w:w="2337"/>
        <w:gridCol w:w="2337"/>
        <w:gridCol w:w="2338"/>
        <w:tblGridChange w:id="0">
          <w:tblGrid>
            <w:gridCol w:w="2337"/>
            <w:gridCol w:w="2337"/>
            <w:gridCol w:w="2337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Показатель</w:t>
            </w:r>
          </w:p>
        </w:tc>
        <w:tc>
          <w:tcPr/>
          <w:p w:rsidR="00000000" w:rsidDel="00000000" w:rsidP="00000000" w:rsidRDefault="00000000" w:rsidRPr="00000000" w14:paraId="000003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Пессимистичный</w:t>
            </w:r>
          </w:p>
        </w:tc>
        <w:tc>
          <w:tcPr/>
          <w:p w:rsidR="00000000" w:rsidDel="00000000" w:rsidP="00000000" w:rsidRDefault="00000000" w:rsidRPr="00000000" w14:paraId="000003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Реалистичный</w:t>
            </w:r>
          </w:p>
        </w:tc>
        <w:tc>
          <w:tcPr/>
          <w:p w:rsidR="00000000" w:rsidDel="00000000" w:rsidP="00000000" w:rsidRDefault="00000000" w:rsidRPr="00000000" w14:paraId="000003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Оптимистичный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B2B-реклама, слотов</w:t>
            </w:r>
          </w:p>
        </w:tc>
        <w:tc>
          <w:tcPr/>
          <w:p w:rsidR="00000000" w:rsidDel="00000000" w:rsidP="00000000" w:rsidRDefault="00000000" w:rsidRPr="00000000" w14:paraId="000003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B2B-реклама, выручка</w:t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180 000 ₽</w:t>
            </w:r>
          </w:p>
        </w:tc>
        <w:tc>
          <w:tcPr/>
          <w:p w:rsidR="00000000" w:rsidDel="00000000" w:rsidP="00000000" w:rsidRDefault="00000000" w:rsidRPr="00000000" w14:paraId="000003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360 000 ₽</w:t>
            </w:r>
          </w:p>
        </w:tc>
        <w:tc>
          <w:tcPr/>
          <w:p w:rsidR="00000000" w:rsidDel="00000000" w:rsidP="00000000" w:rsidRDefault="00000000" w:rsidRPr="00000000" w14:paraId="000003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540 000 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Мерч, единиц</w:t>
            </w:r>
          </w:p>
        </w:tc>
        <w:tc>
          <w:tcPr/>
          <w:p w:rsidR="00000000" w:rsidDel="00000000" w:rsidP="00000000" w:rsidRDefault="00000000" w:rsidRPr="00000000" w14:paraId="000003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Мерч, выручка</w:t>
            </w:r>
          </w:p>
        </w:tc>
        <w:tc>
          <w:tcPr/>
          <w:p w:rsidR="00000000" w:rsidDel="00000000" w:rsidP="00000000" w:rsidRDefault="00000000" w:rsidRPr="00000000" w14:paraId="000003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10 000 ₽</w:t>
            </w:r>
          </w:p>
        </w:tc>
        <w:tc>
          <w:tcPr/>
          <w:p w:rsidR="00000000" w:rsidDel="00000000" w:rsidP="00000000" w:rsidRDefault="00000000" w:rsidRPr="00000000" w14:paraId="000003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20 000 ₽</w:t>
            </w:r>
          </w:p>
        </w:tc>
        <w:tc>
          <w:tcPr/>
          <w:p w:rsidR="00000000" w:rsidDel="00000000" w:rsidP="00000000" w:rsidRDefault="00000000" w:rsidRPr="00000000" w14:paraId="000003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40 000 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Аналитические отчёты</w:t>
            </w:r>
          </w:p>
        </w:tc>
        <w:tc>
          <w:tcPr/>
          <w:p w:rsidR="00000000" w:rsidDel="00000000" w:rsidP="00000000" w:rsidRDefault="00000000" w:rsidRPr="00000000" w14:paraId="000003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50 000 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Итого выручка</w:t>
            </w:r>
          </w:p>
        </w:tc>
        <w:tc>
          <w:tcPr/>
          <w:p w:rsidR="00000000" w:rsidDel="00000000" w:rsidP="00000000" w:rsidRDefault="00000000" w:rsidRPr="00000000" w14:paraId="000003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190 000 ₽</w:t>
            </w:r>
          </w:p>
        </w:tc>
        <w:tc>
          <w:tcPr/>
          <w:p w:rsidR="00000000" w:rsidDel="00000000" w:rsidP="00000000" w:rsidRDefault="00000000" w:rsidRPr="00000000" w14:paraId="000003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380 000 ₽</w:t>
            </w:r>
          </w:p>
        </w:tc>
        <w:tc>
          <w:tcPr/>
          <w:p w:rsidR="00000000" w:rsidDel="00000000" w:rsidP="00000000" w:rsidRDefault="00000000" w:rsidRPr="00000000" w14:paraId="000003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630 000 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Доля B2B в выручке</w:t>
            </w:r>
          </w:p>
        </w:tc>
        <w:tc>
          <w:tcPr/>
          <w:p w:rsidR="00000000" w:rsidDel="00000000" w:rsidP="00000000" w:rsidRDefault="00000000" w:rsidRPr="00000000" w14:paraId="000003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94,7%</w:t>
            </w:r>
          </w:p>
        </w:tc>
        <w:tc>
          <w:tcPr/>
          <w:p w:rsidR="00000000" w:rsidDel="00000000" w:rsidP="00000000" w:rsidRDefault="00000000" w:rsidRPr="00000000" w14:paraId="000003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94,7%</w:t>
            </w:r>
          </w:p>
        </w:tc>
        <w:tc>
          <w:tcPr/>
          <w:p w:rsidR="00000000" w:rsidDel="00000000" w:rsidP="00000000" w:rsidRDefault="00000000" w:rsidRPr="00000000" w14:paraId="000003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93,7%</w:t>
            </w:r>
          </w:p>
        </w:tc>
      </w:tr>
    </w:tbl>
    <w:p w:rsidR="00000000" w:rsidDel="00000000" w:rsidP="00000000" w:rsidRDefault="00000000" w:rsidRPr="00000000" w14:paraId="0000034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5.4 — Прогнозная структура выручки по сценариям (месяц)</w:t>
      </w:r>
    </w:p>
    <w:p w:rsidR="00000000" w:rsidDel="00000000" w:rsidP="00000000" w:rsidRDefault="00000000" w:rsidRPr="00000000" w14:paraId="000003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данным таблицы можно увидеть, что превалирует B2B канал выручки и это хорошая тенденция. По данным Smart Ranking (2025) проекты EdTech с долей B2B-сегмента выше 30% в 2,3 раза меньшую волатильность.</w:t>
      </w:r>
    </w:p>
    <w:p w:rsidR="00000000" w:rsidDel="00000000" w:rsidP="00000000" w:rsidRDefault="00000000" w:rsidRPr="00000000" w14:paraId="00000346">
      <w:pPr>
        <w:pStyle w:val="Heading2"/>
        <w:rPr/>
      </w:pPr>
      <w:bookmarkStart w:colFirst="0" w:colLast="0" w:name="_rgvlab9tb408" w:id="54"/>
      <w:bookmarkEnd w:id="54"/>
      <w:r w:rsidDel="00000000" w:rsidR="00000000" w:rsidRPr="00000000">
        <w:rPr>
          <w:rtl w:val="0"/>
        </w:rPr>
        <w:t xml:space="preserve">5.4 Расчёт точки безубыточности и анализ чувствительности</w:t>
      </w:r>
    </w:p>
    <w:p w:rsidR="00000000" w:rsidDel="00000000" w:rsidP="00000000" w:rsidRDefault="00000000" w:rsidRPr="00000000" w14:paraId="000003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расчёта берем метод CVP-анализ (Cost-Volume-Profit), подчеркнем связь между издержками, продажами и финансовыми результатом.</w:t>
      </w:r>
    </w:p>
    <w:tbl>
      <w:tblPr>
        <w:tblStyle w:val="Table19"/>
        <w:tblW w:w="93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6"/>
        <w:gridCol w:w="872"/>
        <w:gridCol w:w="1688"/>
        <w:gridCol w:w="2061"/>
        <w:gridCol w:w="2302"/>
        <w:tblGridChange w:id="0">
          <w:tblGrid>
            <w:gridCol w:w="2426"/>
            <w:gridCol w:w="872"/>
            <w:gridCol w:w="1688"/>
            <w:gridCol w:w="2061"/>
            <w:gridCol w:w="23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Продукт</w:t>
            </w:r>
          </w:p>
        </w:tc>
        <w:tc>
          <w:tcPr/>
          <w:p w:rsidR="00000000" w:rsidDel="00000000" w:rsidP="00000000" w:rsidRDefault="00000000" w:rsidRPr="00000000" w14:paraId="000003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Цена, руб.</w:t>
            </w:r>
          </w:p>
        </w:tc>
        <w:tc>
          <w:tcPr/>
          <w:p w:rsidR="00000000" w:rsidDel="00000000" w:rsidP="00000000" w:rsidRDefault="00000000" w:rsidRPr="00000000" w14:paraId="000003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Переменные затраты, руб.</w:t>
            </w:r>
          </w:p>
        </w:tc>
        <w:tc>
          <w:tcPr/>
          <w:p w:rsidR="00000000" w:rsidDel="00000000" w:rsidP="00000000" w:rsidRDefault="00000000" w:rsidRPr="00000000" w14:paraId="000003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Маржинальный доход, руб.</w:t>
            </w:r>
          </w:p>
        </w:tc>
        <w:tc>
          <w:tcPr/>
          <w:p w:rsidR="00000000" w:rsidDel="00000000" w:rsidP="00000000" w:rsidRDefault="00000000" w:rsidRPr="00000000" w14:paraId="000003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Маржинальность,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Рекламный слот</w:t>
            </w:r>
          </w:p>
        </w:tc>
        <w:tc>
          <w:tcPr/>
          <w:p w:rsidR="00000000" w:rsidDel="00000000" w:rsidP="00000000" w:rsidRDefault="00000000" w:rsidRPr="00000000" w14:paraId="000003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30 000</w:t>
            </w:r>
          </w:p>
        </w:tc>
        <w:tc>
          <w:tcPr/>
          <w:p w:rsidR="00000000" w:rsidDel="00000000" w:rsidP="00000000" w:rsidRDefault="00000000" w:rsidRPr="00000000" w14:paraId="000003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1 500</w:t>
            </w:r>
          </w:p>
        </w:tc>
        <w:tc>
          <w:tcPr/>
          <w:p w:rsidR="00000000" w:rsidDel="00000000" w:rsidP="00000000" w:rsidRDefault="00000000" w:rsidRPr="00000000" w14:paraId="000003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28 500</w:t>
            </w:r>
          </w:p>
        </w:tc>
        <w:tc>
          <w:tcPr/>
          <w:p w:rsidR="00000000" w:rsidDel="00000000" w:rsidP="00000000" w:rsidRDefault="00000000" w:rsidRPr="00000000" w14:paraId="000003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95,0%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Мерч (единица)</w:t>
            </w:r>
          </w:p>
        </w:tc>
        <w:tc>
          <w:tcPr/>
          <w:p w:rsidR="00000000" w:rsidDel="00000000" w:rsidP="00000000" w:rsidRDefault="00000000" w:rsidRPr="00000000" w14:paraId="000003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1 000</w:t>
            </w:r>
          </w:p>
        </w:tc>
        <w:tc>
          <w:tcPr/>
          <w:p w:rsidR="00000000" w:rsidDel="00000000" w:rsidP="00000000" w:rsidRDefault="00000000" w:rsidRPr="00000000" w14:paraId="000003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3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3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50,0%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Средневзвешенная</w:t>
            </w:r>
          </w:p>
        </w:tc>
        <w:tc>
          <w:tcPr/>
          <w:p w:rsidR="00000000" w:rsidDel="00000000" w:rsidP="00000000" w:rsidRDefault="00000000" w:rsidRPr="00000000" w14:paraId="000003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3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92,6%</w:t>
            </w:r>
          </w:p>
        </w:tc>
      </w:tr>
    </w:tbl>
    <w:p w:rsidR="00000000" w:rsidDel="00000000" w:rsidP="00000000" w:rsidRDefault="00000000" w:rsidRPr="00000000" w14:paraId="0000035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5.5 — Расчёт маржинального дохода по продуктам</w:t>
      </w:r>
    </w:p>
    <w:p w:rsidR="00000000" w:rsidDel="00000000" w:rsidP="00000000" w:rsidRDefault="00000000" w:rsidRPr="00000000" w14:paraId="000003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расчёт идут данные из таблицы 5.5, что бы рассчитать средневзвешенную маржинальность при реалистичном объеме продаж. </w:t>
      </w:r>
    </w:p>
    <w:p w:rsidR="00000000" w:rsidDel="00000000" w:rsidP="00000000" w:rsidRDefault="00000000" w:rsidRPr="00000000" w14:paraId="000003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Средневзвешенная маржинальность = ((12*28500)+(20*500))/((12*30000)+(20*1000))=352000/380000 = 92,6%</w:t>
      </w:r>
    </w:p>
    <w:p w:rsidR="00000000" w:rsidDel="00000000" w:rsidP="00000000" w:rsidRDefault="00000000" w:rsidRPr="00000000" w14:paraId="0000035F">
      <w:pPr>
        <w:rPr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BEP = Постоянные затраты/Коэффициент маржинальности = 351000/0,926 ≈ 379050 руб/мес</w:t>
      </w:r>
    </w:p>
    <w:tbl>
      <w:tblPr>
        <w:tblStyle w:val="Table20"/>
        <w:tblW w:w="93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6"/>
        <w:gridCol w:w="3117"/>
        <w:tblGridChange w:id="0">
          <w:tblGrid>
            <w:gridCol w:w="3116"/>
            <w:gridCol w:w="3116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Изменение параметра</w:t>
            </w:r>
          </w:p>
        </w:tc>
        <w:tc>
          <w:tcPr/>
          <w:p w:rsidR="00000000" w:rsidDel="00000000" w:rsidP="00000000" w:rsidRDefault="00000000" w:rsidRPr="00000000" w14:paraId="000003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Влияние на BEP, руб.</w:t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Критичность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Базовый сценарий</w:t>
            </w:r>
          </w:p>
        </w:tc>
        <w:tc>
          <w:tcPr/>
          <w:p w:rsidR="00000000" w:rsidDel="00000000" w:rsidP="00000000" w:rsidRDefault="00000000" w:rsidRPr="00000000" w14:paraId="000003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379 050</w:t>
            </w:r>
          </w:p>
        </w:tc>
        <w:tc>
          <w:tcPr/>
          <w:p w:rsidR="00000000" w:rsidDel="00000000" w:rsidP="00000000" w:rsidRDefault="00000000" w:rsidRPr="00000000" w14:paraId="000003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Рост ФОТ на 10%</w:t>
            </w:r>
          </w:p>
        </w:tc>
        <w:tc>
          <w:tcPr/>
          <w:p w:rsidR="00000000" w:rsidDel="00000000" w:rsidP="00000000" w:rsidRDefault="00000000" w:rsidRPr="00000000" w14:paraId="000003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386 950</w:t>
            </w:r>
          </w:p>
        </w:tc>
        <w:tc>
          <w:tcPr/>
          <w:p w:rsidR="00000000" w:rsidDel="00000000" w:rsidP="00000000" w:rsidRDefault="00000000" w:rsidRPr="00000000" w14:paraId="000003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Снижение маржи на 5%</w:t>
            </w:r>
          </w:p>
        </w:tc>
        <w:tc>
          <w:tcPr/>
          <w:p w:rsidR="00000000" w:rsidDel="00000000" w:rsidP="00000000" w:rsidRDefault="00000000" w:rsidRPr="00000000" w14:paraId="000003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401 200</w:t>
            </w:r>
          </w:p>
        </w:tc>
        <w:tc>
          <w:tcPr/>
          <w:p w:rsidR="00000000" w:rsidDel="00000000" w:rsidP="00000000" w:rsidRDefault="00000000" w:rsidRPr="00000000" w14:paraId="000003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Сокращение постоянных затрат на 15%</w:t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322 190</w:t>
            </w:r>
          </w:p>
        </w:tc>
        <w:tc>
          <w:tcPr/>
          <w:p w:rsidR="00000000" w:rsidDel="00000000" w:rsidP="00000000" w:rsidRDefault="00000000" w:rsidRPr="00000000" w14:paraId="000003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Положительное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Комбинированный риск (ФОТ +10%, маржа -5%)</w:t>
            </w:r>
          </w:p>
        </w:tc>
        <w:tc>
          <w:tcPr/>
          <w:p w:rsidR="00000000" w:rsidDel="00000000" w:rsidP="00000000" w:rsidRDefault="00000000" w:rsidRPr="00000000" w14:paraId="000003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429 500</w:t>
            </w:r>
          </w:p>
        </w:tc>
        <w:tc>
          <w:tcPr/>
          <w:p w:rsidR="00000000" w:rsidDel="00000000" w:rsidP="00000000" w:rsidRDefault="00000000" w:rsidRPr="00000000" w14:paraId="000003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Критическая</w:t>
            </w:r>
          </w:p>
        </w:tc>
      </w:tr>
    </w:tbl>
    <w:p w:rsidR="00000000" w:rsidDel="00000000" w:rsidP="00000000" w:rsidRDefault="00000000" w:rsidRPr="00000000" w14:paraId="0000037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5.6 — Анализ чувствительности точки безубыточности</w:t>
      </w:r>
    </w:p>
    <w:p w:rsidR="00000000" w:rsidDel="00000000" w:rsidP="00000000" w:rsidRDefault="00000000" w:rsidRPr="00000000" w14:paraId="000003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Исходя из данных таблицы 5.6 выявлена закономерность ощутимого влияния к изменениям маржинальности, но данная уязвимость, как уже выше упоминалось решается диверсификацией каналов доходов.</w:t>
      </w:r>
    </w:p>
    <w:p w:rsidR="00000000" w:rsidDel="00000000" w:rsidP="00000000" w:rsidRDefault="00000000" w:rsidRPr="00000000" w14:paraId="00000374">
      <w:pPr>
        <w:pStyle w:val="Heading2"/>
        <w:rPr/>
      </w:pPr>
      <w:bookmarkStart w:colFirst="0" w:colLast="0" w:name="_66wx7jxgx2zj" w:id="55"/>
      <w:bookmarkEnd w:id="55"/>
      <w:r w:rsidDel="00000000" w:rsidR="00000000" w:rsidRPr="00000000">
        <w:rPr>
          <w:rtl w:val="0"/>
        </w:rPr>
        <w:t xml:space="preserve">5.5 Сценарный анализ и оценка финансовых рисков</w:t>
      </w:r>
    </w:p>
    <w:p w:rsidR="00000000" w:rsidDel="00000000" w:rsidP="00000000" w:rsidRDefault="00000000" w:rsidRPr="00000000" w14:paraId="000003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исследования рассмотрим три сценария развития проекта, это позволит объективно оценить устойчивость экономической модели к внутренним и внешним изменениям.</w:t>
      </w:r>
    </w:p>
    <w:tbl>
      <w:tblPr>
        <w:tblStyle w:val="Table21"/>
        <w:tblW w:w="934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7"/>
        <w:gridCol w:w="2337"/>
        <w:gridCol w:w="2337"/>
        <w:gridCol w:w="2338"/>
        <w:tblGridChange w:id="0">
          <w:tblGrid>
            <w:gridCol w:w="2337"/>
            <w:gridCol w:w="2337"/>
            <w:gridCol w:w="2337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Показатель</w:t>
            </w:r>
          </w:p>
        </w:tc>
        <w:tc>
          <w:tcPr/>
          <w:p w:rsidR="00000000" w:rsidDel="00000000" w:rsidP="00000000" w:rsidRDefault="00000000" w:rsidRPr="00000000" w14:paraId="000003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Пессимистичный</w:t>
            </w:r>
          </w:p>
        </w:tc>
        <w:tc>
          <w:tcPr/>
          <w:p w:rsidR="00000000" w:rsidDel="00000000" w:rsidP="00000000" w:rsidRDefault="00000000" w:rsidRPr="00000000" w14:paraId="000003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Реалистичный</w:t>
            </w:r>
          </w:p>
        </w:tc>
        <w:tc>
          <w:tcPr/>
          <w:p w:rsidR="00000000" w:rsidDel="00000000" w:rsidP="00000000" w:rsidRDefault="00000000" w:rsidRPr="00000000" w14:paraId="000003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Оптимистичный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Выручка, руб./мес.</w:t>
            </w:r>
          </w:p>
        </w:tc>
        <w:tc>
          <w:tcPr/>
          <w:p w:rsidR="00000000" w:rsidDel="00000000" w:rsidP="00000000" w:rsidRDefault="00000000" w:rsidRPr="00000000" w14:paraId="000003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190 000</w:t>
            </w:r>
          </w:p>
        </w:tc>
        <w:tc>
          <w:tcPr/>
          <w:p w:rsidR="00000000" w:rsidDel="00000000" w:rsidP="00000000" w:rsidRDefault="00000000" w:rsidRPr="00000000" w14:paraId="000003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380 000</w:t>
            </w:r>
          </w:p>
        </w:tc>
        <w:tc>
          <w:tcPr/>
          <w:p w:rsidR="00000000" w:rsidDel="00000000" w:rsidP="00000000" w:rsidRDefault="00000000" w:rsidRPr="00000000" w14:paraId="000003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630 000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Переменные расходы, руб.</w:t>
            </w:r>
          </w:p>
        </w:tc>
        <w:tc>
          <w:tcPr/>
          <w:p w:rsidR="00000000" w:rsidDel="00000000" w:rsidP="00000000" w:rsidRDefault="00000000" w:rsidRPr="00000000" w14:paraId="000003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14 000</w:t>
            </w:r>
          </w:p>
        </w:tc>
        <w:tc>
          <w:tcPr/>
          <w:p w:rsidR="00000000" w:rsidDel="00000000" w:rsidP="00000000" w:rsidRDefault="00000000" w:rsidRPr="00000000" w14:paraId="000003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28 000</w:t>
            </w:r>
          </w:p>
        </w:tc>
        <w:tc>
          <w:tcPr/>
          <w:p w:rsidR="00000000" w:rsidDel="00000000" w:rsidP="00000000" w:rsidRDefault="00000000" w:rsidRPr="00000000" w14:paraId="000003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47 000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Постоянные расходы, руб.</w:t>
            </w:r>
          </w:p>
        </w:tc>
        <w:tc>
          <w:tcPr/>
          <w:p w:rsidR="00000000" w:rsidDel="00000000" w:rsidP="00000000" w:rsidRDefault="00000000" w:rsidRPr="00000000" w14:paraId="000003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351 000</w:t>
            </w:r>
          </w:p>
        </w:tc>
        <w:tc>
          <w:tcPr/>
          <w:p w:rsidR="00000000" w:rsidDel="00000000" w:rsidP="00000000" w:rsidRDefault="00000000" w:rsidRPr="00000000" w14:paraId="000003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351 000</w:t>
            </w:r>
          </w:p>
        </w:tc>
        <w:tc>
          <w:tcPr/>
          <w:p w:rsidR="00000000" w:rsidDel="00000000" w:rsidP="00000000" w:rsidRDefault="00000000" w:rsidRPr="00000000" w14:paraId="000003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351 000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Итого расходы</w:t>
            </w:r>
          </w:p>
        </w:tc>
        <w:tc>
          <w:tcPr/>
          <w:p w:rsidR="00000000" w:rsidDel="00000000" w:rsidP="00000000" w:rsidRDefault="00000000" w:rsidRPr="00000000" w14:paraId="000003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365 000</w:t>
            </w:r>
          </w:p>
        </w:tc>
        <w:tc>
          <w:tcPr/>
          <w:p w:rsidR="00000000" w:rsidDel="00000000" w:rsidP="00000000" w:rsidRDefault="00000000" w:rsidRPr="00000000" w14:paraId="000003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379 000</w:t>
            </w:r>
          </w:p>
        </w:tc>
        <w:tc>
          <w:tcPr/>
          <w:p w:rsidR="00000000" w:rsidDel="00000000" w:rsidP="00000000" w:rsidRDefault="00000000" w:rsidRPr="00000000" w14:paraId="000003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398 000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Финансовый результат</w:t>
            </w:r>
          </w:p>
        </w:tc>
        <w:tc>
          <w:tcPr/>
          <w:p w:rsidR="00000000" w:rsidDel="00000000" w:rsidP="00000000" w:rsidRDefault="00000000" w:rsidRPr="00000000" w14:paraId="000003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-175 000</w:t>
            </w:r>
          </w:p>
        </w:tc>
        <w:tc>
          <w:tcPr/>
          <w:p w:rsidR="00000000" w:rsidDel="00000000" w:rsidP="00000000" w:rsidRDefault="00000000" w:rsidRPr="00000000" w14:paraId="000003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+1 000</w:t>
            </w:r>
          </w:p>
        </w:tc>
        <w:tc>
          <w:tcPr/>
          <w:p w:rsidR="00000000" w:rsidDel="00000000" w:rsidP="00000000" w:rsidRDefault="00000000" w:rsidRPr="00000000" w14:paraId="000003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+232 000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Рентабельность, %</w:t>
            </w:r>
          </w:p>
        </w:tc>
        <w:tc>
          <w:tcPr/>
          <w:p w:rsidR="00000000" w:rsidDel="00000000" w:rsidP="00000000" w:rsidRDefault="00000000" w:rsidRPr="00000000" w14:paraId="000003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-92%</w:t>
            </w:r>
          </w:p>
        </w:tc>
        <w:tc>
          <w:tcPr/>
          <w:p w:rsidR="00000000" w:rsidDel="00000000" w:rsidP="00000000" w:rsidRDefault="00000000" w:rsidRPr="00000000" w14:paraId="000003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0,3%</w:t>
            </w:r>
          </w:p>
        </w:tc>
        <w:tc>
          <w:tcPr/>
          <w:p w:rsidR="00000000" w:rsidDel="00000000" w:rsidP="00000000" w:rsidRDefault="00000000" w:rsidRPr="00000000" w14:paraId="000003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Запас финансовой прочности, %</w:t>
            </w:r>
          </w:p>
        </w:tc>
        <w:tc>
          <w:tcPr/>
          <w:p w:rsidR="00000000" w:rsidDel="00000000" w:rsidP="00000000" w:rsidRDefault="00000000" w:rsidRPr="00000000" w14:paraId="000003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-50%</w:t>
            </w:r>
          </w:p>
        </w:tc>
        <w:tc>
          <w:tcPr/>
          <w:p w:rsidR="00000000" w:rsidDel="00000000" w:rsidP="00000000" w:rsidRDefault="00000000" w:rsidRPr="00000000" w14:paraId="000003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0,3%</w:t>
            </w:r>
          </w:p>
        </w:tc>
        <w:tc>
          <w:tcPr/>
          <w:p w:rsidR="00000000" w:rsidDel="00000000" w:rsidP="00000000" w:rsidRDefault="00000000" w:rsidRPr="00000000" w14:paraId="000003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40%</w:t>
            </w:r>
          </w:p>
        </w:tc>
      </w:tr>
    </w:tbl>
    <w:p w:rsidR="00000000" w:rsidDel="00000000" w:rsidP="00000000" w:rsidRDefault="00000000" w:rsidRPr="00000000" w14:paraId="0000039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5.7 — Сравнительный анализ финансовых сценариев</w:t>
      </w:r>
    </w:p>
    <w:p w:rsidR="00000000" w:rsidDel="00000000" w:rsidP="00000000" w:rsidRDefault="00000000" w:rsidRPr="00000000" w14:paraId="000003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Экономическая интерпретация данных таблицы 5.7 выявляет следующие закономерности:</w:t>
      </w:r>
    </w:p>
    <w:p w:rsidR="00000000" w:rsidDel="00000000" w:rsidP="00000000" w:rsidRDefault="00000000" w:rsidRPr="00000000" w14:paraId="000003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Пессимистический сценарий предполагает потерю 175000 рублей в месяц, для чего требуется формирование финансового буфера в размере 2,1 миллиона рублей на 12 месяцев или привлечение начального финансирования. </w:t>
      </w:r>
    </w:p>
    <w:p w:rsidR="00000000" w:rsidDel="00000000" w:rsidP="00000000" w:rsidRDefault="00000000" w:rsidRPr="00000000" w14:paraId="000003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Реалистичный сценарий соответствует выходу проекта на безубыточность, что подтверждается расчётами раздела 5.4. Запас прочности  0,3%, требует наблюдения в режиме реального времени за ключевыми параметрами.</w:t>
      </w:r>
    </w:p>
    <w:p w:rsidR="00000000" w:rsidDel="00000000" w:rsidP="00000000" w:rsidRDefault="00000000" w:rsidRPr="00000000" w14:paraId="000003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Оптимистичный сценарий демонстрирует операционный рычаг: рост выручки на 66% относительно базового сценария. Рентабельность 37% превышает среднерыночный показатель для EdTech-платформ.</w:t>
      </w:r>
    </w:p>
    <w:p w:rsidR="00000000" w:rsidDel="00000000" w:rsidP="00000000" w:rsidRDefault="00000000" w:rsidRPr="00000000" w14:paraId="0000039B">
      <w:pPr>
        <w:pStyle w:val="Heading2"/>
        <w:rPr/>
      </w:pPr>
      <w:bookmarkStart w:colFirst="0" w:colLast="0" w:name="_mwh9zuiu8gqr" w:id="56"/>
      <w:bookmarkEnd w:id="56"/>
      <w:r w:rsidDel="00000000" w:rsidR="00000000" w:rsidRPr="00000000">
        <w:rPr>
          <w:rtl w:val="0"/>
        </w:rPr>
        <w:t xml:space="preserve">5.6 Интегральная оценка экономической целесообразности</w:t>
      </w:r>
    </w:p>
    <w:p w:rsidR="00000000" w:rsidDel="00000000" w:rsidP="00000000" w:rsidRDefault="00000000" w:rsidRPr="00000000" w14:paraId="000003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Комплексный анализ экономической модели CodHammer обосновывает финансовую жизнеспособность проекта.</w:t>
      </w:r>
    </w:p>
    <w:tbl>
      <w:tblPr>
        <w:tblStyle w:val="Table22"/>
        <w:tblW w:w="93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6"/>
        <w:gridCol w:w="2274"/>
        <w:gridCol w:w="2292"/>
        <w:gridCol w:w="2307"/>
        <w:tblGridChange w:id="0">
          <w:tblGrid>
            <w:gridCol w:w="2476"/>
            <w:gridCol w:w="2274"/>
            <w:gridCol w:w="2292"/>
            <w:gridCol w:w="23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Показатель</w:t>
            </w:r>
          </w:p>
        </w:tc>
        <w:tc>
          <w:tcPr/>
          <w:p w:rsidR="00000000" w:rsidDel="00000000" w:rsidP="00000000" w:rsidRDefault="00000000" w:rsidRPr="00000000" w14:paraId="000003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Значение</w:t>
            </w:r>
          </w:p>
        </w:tc>
        <w:tc>
          <w:tcPr/>
          <w:p w:rsidR="00000000" w:rsidDel="00000000" w:rsidP="00000000" w:rsidRDefault="00000000" w:rsidRPr="00000000" w14:paraId="000003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Отраслевой бенчмарк</w:t>
            </w:r>
          </w:p>
        </w:tc>
        <w:tc>
          <w:tcPr/>
          <w:p w:rsidR="00000000" w:rsidDel="00000000" w:rsidP="00000000" w:rsidRDefault="00000000" w:rsidRPr="00000000" w14:paraId="000003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Соответствие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Точка безубыточности, мес.</w:t>
            </w:r>
          </w:p>
        </w:tc>
        <w:tc>
          <w:tcPr/>
          <w:p w:rsidR="00000000" w:rsidDel="00000000" w:rsidP="00000000" w:rsidRDefault="00000000" w:rsidRPr="00000000" w14:paraId="000003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14–18</w:t>
            </w:r>
          </w:p>
        </w:tc>
        <w:tc>
          <w:tcPr/>
          <w:p w:rsidR="00000000" w:rsidDel="00000000" w:rsidP="00000000" w:rsidRDefault="00000000" w:rsidRPr="00000000" w14:paraId="000003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Выше среднего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Средневзвешенная маржинальность</w:t>
            </w:r>
          </w:p>
        </w:tc>
        <w:tc>
          <w:tcPr/>
          <w:p w:rsidR="00000000" w:rsidDel="00000000" w:rsidP="00000000" w:rsidRDefault="00000000" w:rsidRPr="00000000" w14:paraId="000003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92,6%</w:t>
            </w:r>
          </w:p>
        </w:tc>
        <w:tc>
          <w:tcPr/>
          <w:p w:rsidR="00000000" w:rsidDel="00000000" w:rsidP="00000000" w:rsidRDefault="00000000" w:rsidRPr="00000000" w14:paraId="000003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85–90%</w:t>
            </w:r>
          </w:p>
        </w:tc>
        <w:tc>
          <w:tcPr/>
          <w:p w:rsidR="00000000" w:rsidDel="00000000" w:rsidP="00000000" w:rsidRDefault="00000000" w:rsidRPr="00000000" w14:paraId="000003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Выше среднего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Рентабельность (оптимум)</w:t>
            </w:r>
          </w:p>
        </w:tc>
        <w:tc>
          <w:tcPr/>
          <w:p w:rsidR="00000000" w:rsidDel="00000000" w:rsidP="00000000" w:rsidRDefault="00000000" w:rsidRPr="00000000" w14:paraId="000003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37%</w:t>
            </w:r>
          </w:p>
        </w:tc>
        <w:tc>
          <w:tcPr/>
          <w:p w:rsidR="00000000" w:rsidDel="00000000" w:rsidP="00000000" w:rsidRDefault="00000000" w:rsidRPr="00000000" w14:paraId="000003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22–28%</w:t>
            </w:r>
          </w:p>
        </w:tc>
        <w:tc>
          <w:tcPr/>
          <w:p w:rsidR="00000000" w:rsidDel="00000000" w:rsidP="00000000" w:rsidRDefault="00000000" w:rsidRPr="00000000" w14:paraId="000003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Выше среднего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Доля B2B в выручке</w:t>
            </w:r>
          </w:p>
        </w:tc>
        <w:tc>
          <w:tcPr/>
          <w:p w:rsidR="00000000" w:rsidDel="00000000" w:rsidP="00000000" w:rsidRDefault="00000000" w:rsidRPr="00000000" w14:paraId="000003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94,7%</w:t>
            </w:r>
          </w:p>
        </w:tc>
        <w:tc>
          <w:tcPr/>
          <w:p w:rsidR="00000000" w:rsidDel="00000000" w:rsidP="00000000" w:rsidRDefault="00000000" w:rsidRPr="00000000" w14:paraId="000003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35–45%</w:t>
            </w:r>
          </w:p>
        </w:tc>
        <w:tc>
          <w:tcPr/>
          <w:p w:rsidR="00000000" w:rsidDel="00000000" w:rsidP="00000000" w:rsidRDefault="00000000" w:rsidRPr="00000000" w14:paraId="000003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Специфика ниши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Запас финансовой прочности</w:t>
            </w:r>
          </w:p>
        </w:tc>
        <w:tc>
          <w:tcPr/>
          <w:p w:rsidR="00000000" w:rsidDel="00000000" w:rsidP="00000000" w:rsidRDefault="00000000" w:rsidRPr="00000000" w14:paraId="000003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0,3–40%</w:t>
            </w:r>
          </w:p>
        </w:tc>
        <w:tc>
          <w:tcPr/>
          <w:p w:rsidR="00000000" w:rsidDel="00000000" w:rsidP="00000000" w:rsidRDefault="00000000" w:rsidRPr="00000000" w14:paraId="000003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15–25%</w:t>
            </w:r>
          </w:p>
        </w:tc>
        <w:tc>
          <w:tcPr/>
          <w:p w:rsidR="00000000" w:rsidDel="00000000" w:rsidP="00000000" w:rsidRDefault="00000000" w:rsidRPr="00000000" w14:paraId="000003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 пределах нормы</w:t>
            </w:r>
          </w:p>
        </w:tc>
      </w:tr>
    </w:tbl>
    <w:p w:rsidR="00000000" w:rsidDel="00000000" w:rsidP="00000000" w:rsidRDefault="00000000" w:rsidRPr="00000000" w14:paraId="000003B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5.8 — Сводные показатели экономической эффективности</w:t>
      </w:r>
    </w:p>
    <w:p w:rsidR="00000000" w:rsidDel="00000000" w:rsidP="00000000" w:rsidRDefault="00000000" w:rsidRPr="00000000" w14:paraId="000003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итогам анализа подтверждена финансовая жизнеспособность CodHammer: проект достигает операционной безубыточности при реалистичном объёме продаж. Доминирование B2B-сегмента в модели монетизации снижает зависимость от спроса потребитель и их колебаний, что соотносится с практиками рынка EdTech.</w:t>
      </w:r>
    </w:p>
    <w:p w:rsidR="00000000" w:rsidDel="00000000" w:rsidP="00000000" w:rsidRDefault="00000000" w:rsidRPr="00000000" w14:paraId="000003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 отвечает критериям инвестиционной привлекательности на начальном этапе: предполагаемый период безубыточности, масштабируемая структура поступлений и наличие каналов роста.</w:t>
      </w:r>
    </w:p>
    <w:p w:rsidR="00000000" w:rsidDel="00000000" w:rsidP="00000000" w:rsidRDefault="00000000" w:rsidRPr="00000000" w14:paraId="000003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Итоговый вывод: экономическая модель CodHammer признаётся целесообразной для реализации ВКР в формате «Стартап как диплом».</w:t>
      </w:r>
    </w:p>
    <w:p w:rsidR="00000000" w:rsidDel="00000000" w:rsidP="00000000" w:rsidRDefault="00000000" w:rsidRPr="00000000" w14:paraId="000003B9">
      <w:pPr>
        <w:spacing w:after="160" w:line="259" w:lineRule="auto"/>
        <w:rPr>
          <w:b w:val="1"/>
          <w:bCs w:val="1"/>
          <w:sz w:val="36"/>
          <w:szCs w:val="36"/>
        </w:rPr>
      </w:pPr>
      <w:bookmarkStart w:colFirst="0" w:colLast="0" w:name="_m98ijqyqw2in" w:id="57"/>
      <w:bookmarkEnd w:id="5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rPr>
          <w:rFonts w:ascii="Calibri" w:cs="Calibri" w:eastAsia="Calibri" w:hAnsi="Calibri"/>
          <w:color w:val="365f91"/>
          <w:sz w:val="28"/>
          <w:szCs w:val="28"/>
        </w:rPr>
      </w:pPr>
      <w:bookmarkStart w:colFirst="0" w:colLast="0" w:name="_yr8fp1yiuh0a" w:id="58"/>
      <w:bookmarkEnd w:id="58"/>
      <w:r w:rsidDel="00000000" w:rsidR="00000000" w:rsidRPr="00000000">
        <w:rPr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</w:t>
        <w:tab/>
        <w:t xml:space="preserve">Российская Федерация. Законы. Налоговый кодекс Российской Федерации (часть вторая) [Текст] : федер. закон : [от 05.08.2000 № 117-ФЗ : в ред. от 08.08.2024]. – М. : СПС «КонсультантПлюс», 2024.</w:t>
      </w:r>
    </w:p>
    <w:p w:rsidR="00000000" w:rsidDel="00000000" w:rsidP="00000000" w:rsidRDefault="00000000" w:rsidRPr="00000000" w14:paraId="000003BC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</w:t>
        <w:tab/>
        <w:t xml:space="preserve">Российская Федерация. Законы. О персональных данных [Текст] : федер. закон : [от 27.07.2006 № 152-ФЗ : в ред. от 06.02.2023]. – М. : Собрание законодательства РФ. – 2006. – № 31 (ч. 1). – Ст. 3451.</w:t>
      </w:r>
    </w:p>
    <w:p w:rsidR="00000000" w:rsidDel="00000000" w:rsidP="00000000" w:rsidRDefault="00000000" w:rsidRPr="00000000" w14:paraId="000003BD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</w:t>
        <w:tab/>
        <w:t xml:space="preserve">Российская Федерация. Законы. Об образовании в Российской Федерации [Текст] : федер. закон : [от 29.12.2012 № 273-ФЗ : в ред. от 08.08.2024]. – М. : Российская газета. – 2012. – № 303.</w:t>
      </w:r>
    </w:p>
    <w:p w:rsidR="00000000" w:rsidDel="00000000" w:rsidP="00000000" w:rsidRDefault="00000000" w:rsidRPr="00000000" w14:paraId="000003BE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4.</w:t>
        <w:tab/>
        <w:t xml:space="preserve">Аналитический отчет «Российский рынок EdTech: итоги 2023 и прогнозы 2024» [Текст]. – М. : Smart Ranking, 2024. – 45 с.</w:t>
      </w:r>
    </w:p>
    <w:p w:rsidR="00000000" w:rsidDel="00000000" w:rsidP="00000000" w:rsidRDefault="00000000" w:rsidRPr="00000000" w14:paraId="000003BF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5.</w:t>
        <w:tab/>
        <w:t xml:space="preserve">Вербах, К. Вовлекай и властвуй. Игровое мышление на службе бизнеса [Текст] / К. Вербах, Д. Хантер. – М. : Манн, Иванов и Фербер, 2015. – 224 с.</w:t>
      </w:r>
    </w:p>
    <w:p w:rsidR="00000000" w:rsidDel="00000000" w:rsidP="00000000" w:rsidRDefault="00000000" w:rsidRPr="00000000" w14:paraId="000003C0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6.</w:t>
        <w:tab/>
        <w:t xml:space="preserve">Донован, А. Язык программирования Go [Текст] / А. Донован, Б. Керниган. – М. : Вильямс, 2022. – 432 с.</w:t>
      </w:r>
    </w:p>
    <w:p w:rsidR="00000000" w:rsidDel="00000000" w:rsidP="00000000" w:rsidRDefault="00000000" w:rsidRPr="00000000" w14:paraId="000003C1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7.</w:t>
        <w:tab/>
        <w:t xml:space="preserve">Исаева, Е. В. Геймификация в образовании: современные тренды и перспективы [Текст] // Высшее образование в России. – 2023. – Т. 32, № 4. – С. 115–125.</w:t>
      </w:r>
    </w:p>
    <w:p w:rsidR="00000000" w:rsidDel="00000000" w:rsidP="00000000" w:rsidRDefault="00000000" w:rsidRPr="00000000" w14:paraId="000003C2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8.</w:t>
        <w:tab/>
        <w:t xml:space="preserve">Клепинин, Д. А. Разработка приложений на Python и Go в высоконагруженных системах [Текст] / Д. А. Клепинин. – СПб. : Питер, 2024. – 320 с. (Доп. источник)</w:t>
      </w:r>
    </w:p>
    <w:p w:rsidR="00000000" w:rsidDel="00000000" w:rsidP="00000000" w:rsidRDefault="00000000" w:rsidRPr="00000000" w14:paraId="000003C3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9.</w:t>
        <w:tab/>
        <w:t xml:space="preserve">Кузнецов, А. А. Проблемы трудоустройства выпускников технических вузов в условиях цифровой экономики [Текст] // Вопросы образования. – 2024. – № 1. – С. 45–62.</w:t>
      </w:r>
    </w:p>
    <w:p w:rsidR="00000000" w:rsidDel="00000000" w:rsidP="00000000" w:rsidRDefault="00000000" w:rsidRPr="00000000" w14:paraId="000003C4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10.</w:t>
        <w:tab/>
        <w:t xml:space="preserve">Мартин, Р. Чистая архитектура. Искусство разработки программного обеспечения [Текст] / Р. Мартин. – СПб. : Питер, 2021. – 352 с. (Доп. источник)</w:t>
      </w:r>
    </w:p>
    <w:p w:rsidR="00000000" w:rsidDel="00000000" w:rsidP="00000000" w:rsidRDefault="00000000" w:rsidRPr="00000000" w14:paraId="000003C5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11.</w:t>
        <w:tab/>
        <w:t xml:space="preserve">Ньюмен, С. Создание микросервисов [Текст] / С. Ньюмен. – СПб. : Питер, 2023. – 624 с.</w:t>
      </w:r>
    </w:p>
    <w:p w:rsidR="00000000" w:rsidDel="00000000" w:rsidP="00000000" w:rsidRDefault="00000000" w:rsidRPr="00000000" w14:paraId="000003C6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12.</w:t>
        <w:tab/>
        <w:t xml:space="preserve">Остервальдер, А. Построение бизнес-моделей: настольная книга стратега и новатора [Текст] / А. Остервальдер, И. Пинье. – М. : Альпина Паблишер, 2021. – 288 с.</w:t>
      </w:r>
    </w:p>
    <w:p w:rsidR="00000000" w:rsidDel="00000000" w:rsidP="00000000" w:rsidRDefault="00000000" w:rsidRPr="00000000" w14:paraId="000003C7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13.</w:t>
        <w:tab/>
        <w:t xml:space="preserve">Портер, М. Конкурентная стратегия: методика анализа отраслей и конкурентов [Текст] / М. Портер. – М. : Альпина Паблишер, 2020. – 453 с.</w:t>
      </w:r>
    </w:p>
    <w:p w:rsidR="00000000" w:rsidDel="00000000" w:rsidP="00000000" w:rsidRDefault="00000000" w:rsidRPr="00000000" w14:paraId="000003C8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14.</w:t>
        <w:tab/>
        <w:t xml:space="preserve">Рис, Э. Бизнес с нуля. Метод Lean Startup для быстрого тестирования идей и выбора бизнес-модели [Текст] / Э. Рис. – М. : Альпина Паблишер, 2022. – 256 с.</w:t>
      </w:r>
    </w:p>
    <w:p w:rsidR="00000000" w:rsidDel="00000000" w:rsidP="00000000" w:rsidRDefault="00000000" w:rsidRPr="00000000" w14:paraId="000003C9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15.</w:t>
        <w:tab/>
        <w:t xml:space="preserve">Роджерс, Э. Диффузия инноваций [Текст] / Э. Роджерс. – М. : Попурри, 2019. – 568 с.</w:t>
      </w:r>
    </w:p>
    <w:p w:rsidR="00000000" w:rsidDel="00000000" w:rsidP="00000000" w:rsidRDefault="00000000" w:rsidRPr="00000000" w14:paraId="000003CA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16.</w:t>
        <w:tab/>
        <w:t xml:space="preserve">Тренды рынка труда для молодых специалистов 2024–2025: исследование HeadHunter [Текст] // Вестник HR-менеджмента. – 2025. – № 2. – С. 12–28.</w:t>
      </w:r>
    </w:p>
    <w:p w:rsidR="00000000" w:rsidDel="00000000" w:rsidP="00000000" w:rsidRDefault="00000000" w:rsidRPr="00000000" w14:paraId="000003CB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17.</w:t>
        <w:tab/>
        <w:t xml:space="preserve">Фаулер, М. Шаблоны корпоративных программных приложений [Текст] / М. Фаулер. – М. : Вильямс, 2022. – 544 с. (Доп. источник)</w:t>
      </w:r>
    </w:p>
    <w:p w:rsidR="00000000" w:rsidDel="00000000" w:rsidP="00000000" w:rsidRDefault="00000000" w:rsidRPr="00000000" w14:paraId="000003CC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18.</w:t>
        <w:tab/>
        <w:t xml:space="preserve">Чоу, Ю-Кай. Actionable Gamification: Beyond Points, Badges, and Leaderboards [Text] / Yu-kai Chou. – Octalysis Media, 2019. – 514 p.</w:t>
      </w:r>
    </w:p>
    <w:p w:rsidR="00000000" w:rsidDel="00000000" w:rsidP="00000000" w:rsidRDefault="00000000" w:rsidRPr="00000000" w14:paraId="000003CD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19.</w:t>
        <w:tab/>
        <w:t xml:space="preserve">Шваб, К. Четвертая промышленная революция [Текст] / К. Шваб. – М. : Эксмо, 2022. – 208 с. (Доп. источник)</w:t>
      </w:r>
    </w:p>
    <w:p w:rsidR="00000000" w:rsidDel="00000000" w:rsidP="00000000" w:rsidRDefault="00000000" w:rsidRPr="00000000" w14:paraId="000003CE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20.</w:t>
        <w:tab/>
        <w:t xml:space="preserve">Эяль, Н. На крючке. Как создавать продукты, формирующие привычки [Текст] / Н. Эяль. – М. : Манн, Иванов и Фербер, 2017. – 272 с.</w:t>
      </w:r>
    </w:p>
    <w:p w:rsidR="00000000" w:rsidDel="00000000" w:rsidP="00000000" w:rsidRDefault="00000000" w:rsidRPr="00000000" w14:paraId="000003CF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21.</w:t>
        <w:tab/>
        <w:t xml:space="preserve">Документация языка программирования Go [Электронный ресурс] // Официальный сайт Go. – Режим доступа: https://go.dev/doc/ (дата обращения: 18.12.2025).</w:t>
      </w:r>
    </w:p>
    <w:p w:rsidR="00000000" w:rsidDel="00000000" w:rsidP="00000000" w:rsidRDefault="00000000" w:rsidRPr="00000000" w14:paraId="000003D0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22.</w:t>
        <w:tab/>
        <w:t xml:space="preserve">Исследование «Стажировки и практики в России 2024» [Электронный ресурс] // ANCOR. – Режим доступа: https://ancor.ru/research/ (дата обращения: 18.12.2025).</w:t>
      </w:r>
    </w:p>
    <w:p w:rsidR="00000000" w:rsidDel="00000000" w:rsidP="00000000" w:rsidRDefault="00000000" w:rsidRPr="00000000" w14:paraId="000003D1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23.</w:t>
        <w:tab/>
        <w:t xml:space="preserve">Обзор рынка киберспорта и беттинга в РФ 2024 [Электронный ресурс] // TAdviser. – Режим доступа: https://www.tadviser.ru/ (дата обращения: 18.12.2025).</w:t>
      </w:r>
    </w:p>
    <w:p w:rsidR="00000000" w:rsidDel="00000000" w:rsidP="00000000" w:rsidRDefault="00000000" w:rsidRPr="00000000" w14:paraId="000003D2">
      <w:pPr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24.</w:t>
        <w:tab/>
        <w:t xml:space="preserve">Официальная документация фреймворка Flutter [Электронный ресурс] // Официальный сайт Flutter. – Режим доступа: https://flutter.dev/docs (дата обращения: 18.12.2025).</w:t>
      </w:r>
    </w:p>
    <w:p w:rsidR="00000000" w:rsidDel="00000000" w:rsidP="00000000" w:rsidRDefault="00000000" w:rsidRPr="00000000" w14:paraId="000003D3">
      <w:pPr>
        <w:spacing w:after="0"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25.</w:t>
        <w:tab/>
        <w:t xml:space="preserve">Российский рынок ИТ: итоги 2024 года [Электронный ресурс] // РБК Тренды. – Режим доступа: https://trends.rbc.ru/ (дата обращения: 18.12.2025). (Доп. источник)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"/>
      <w:lvlJc w:val="left"/>
      <w:pPr>
        <w:ind w:left="1080" w:hanging="72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800" w:hanging="144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2160" w:hanging="1800"/>
      </w:pPr>
      <w:rPr/>
    </w:lvl>
    <w:lvl w:ilvl="7">
      <w:start w:val="1"/>
      <w:numFmt w:val="decimal"/>
      <w:lvlText w:val="%1.%2.%3.%4.%5.%6.%7.%8"/>
      <w:lvlJc w:val="left"/>
      <w:pPr>
        <w:ind w:left="2520" w:hanging="2160"/>
      </w:pPr>
      <w:rPr/>
    </w:lvl>
    <w:lvl w:ilvl="8">
      <w:start w:val="1"/>
      <w:numFmt w:val="decimal"/>
      <w:lvlText w:val="%1.%2.%3.%4.%5.%6.%7.%8.%9"/>
      <w:lvlJc w:val="left"/>
      <w:pPr>
        <w:ind w:left="2520" w:hanging="21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"/>
      <w:lvlJc w:val="left"/>
      <w:pPr>
        <w:ind w:left="1080" w:hanging="72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800" w:hanging="1440"/>
      </w:pPr>
      <w:rPr/>
    </w:lvl>
    <w:lvl w:ilvl="5">
      <w:start w:val="1"/>
      <w:numFmt w:val="decimal"/>
      <w:lvlText w:val="%1.%2.%3.%4.%5.%6"/>
      <w:lvlJc w:val="left"/>
      <w:pPr>
        <w:ind w:left="2160" w:hanging="1800"/>
      </w:pPr>
      <w:rPr/>
    </w:lvl>
    <w:lvl w:ilvl="6">
      <w:start w:val="1"/>
      <w:numFmt w:val="decimal"/>
      <w:lvlText w:val="%1.%2.%3.%4.%5.%6.%7"/>
      <w:lvlJc w:val="left"/>
      <w:pPr>
        <w:ind w:left="2160" w:hanging="1800"/>
      </w:pPr>
      <w:rPr/>
    </w:lvl>
    <w:lvl w:ilvl="7">
      <w:start w:val="1"/>
      <w:numFmt w:val="decimal"/>
      <w:lvlText w:val="%1.%2.%3.%4.%5.%6.%7.%8"/>
      <w:lvlJc w:val="left"/>
      <w:pPr>
        <w:ind w:left="2520" w:hanging="2160"/>
      </w:pPr>
      <w:rPr/>
    </w:lvl>
    <w:lvl w:ilvl="8">
      <w:start w:val="1"/>
      <w:numFmt w:val="decimal"/>
      <w:lvlText w:val="%1.%2.%3.%4.%5.%6.%7.%8.%9"/>
      <w:lvlJc w:val="left"/>
      <w:pPr>
        <w:ind w:left="2880" w:hanging="252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