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A7B" w:rsidRPr="007E7142" w:rsidRDefault="00B65FB8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ТИТУЛЬНЫЙ ЛИСТ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7142">
        <w:rPr>
          <w:rFonts w:ascii="Times New Roman" w:hAnsi="Times New Roman"/>
          <w:sz w:val="28"/>
          <w:szCs w:val="28"/>
        </w:rPr>
        <w:lastRenderedPageBreak/>
        <w:t>ЗАДАНИЕ НА ВКР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Toc227439611"/>
      <w:bookmarkStart w:id="2" w:name="_Toc227440392"/>
      <w:r w:rsidRPr="007E7142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  <w:bookmarkEnd w:id="1"/>
      <w:bookmarkEnd w:id="2"/>
      <w:r w:rsidRPr="007E714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Выпускная квалификационная работа посвящена разработке платформы "DotaSenseAI" для персонализированного развития профессиональных навыков пользователей в среде "Dota 2". Платформа проектируется как цифровой сервис с чат-интерфейсом, через который пользователь передает игровые данные, получает анализ типичных ошибок и рекомендации по развитию навыков. В работе описана архитектура решения, в которой генеративный искусственный интеллект отвечает за диалог и формирование объяснимых рекомендаций, RAG-контур - за поиск и использование актуальных доменных материалов, а агентный подход - за маршрутизацию запросов между специализированными компонентами. Практический результат включает разработку архитектуры платформы и реализацию ключевых компонентов ML/AI-контура: пайплайна подготовки данных, векторного хранилища знаний и механизма персонализированных рекомендаций.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4263C9" w:rsidRDefault="004263C9" w:rsidP="004263C9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5711B6" w:rsidRPr="005711B6" w:rsidRDefault="005711B6" w:rsidP="005711B6">
      <w:pPr>
        <w:pStyle w:val="a7"/>
        <w:spacing w:before="0" w:line="360" w:lineRule="auto"/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5711B6">
        <w:rPr>
          <w:rFonts w:ascii="Times New Roman" w:hAnsi="Times New Roman"/>
          <w:b/>
          <w:color w:val="auto"/>
          <w:sz w:val="28"/>
          <w:szCs w:val="28"/>
        </w:rPr>
        <w:lastRenderedPageBreak/>
        <w:t>Оглавление</w:t>
      </w:r>
    </w:p>
    <w:p w:rsidR="005711B6" w:rsidRPr="005711B6" w:rsidRDefault="005711B6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1632D">
        <w:rPr>
          <w:rFonts w:ascii="Times New Roman" w:hAnsi="Times New Roman"/>
          <w:sz w:val="28"/>
          <w:szCs w:val="28"/>
        </w:rPr>
        <w:fldChar w:fldCharType="begin"/>
      </w:r>
      <w:r w:rsidRPr="005711B6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C1632D">
        <w:rPr>
          <w:rFonts w:ascii="Times New Roman" w:hAnsi="Times New Roman"/>
          <w:sz w:val="28"/>
          <w:szCs w:val="28"/>
        </w:rPr>
        <w:fldChar w:fldCharType="separate"/>
      </w:r>
      <w:hyperlink w:anchor="_Toc227440392" w:history="1">
        <w:r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Аннотация</w:t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_Toc227440392 \h </w:instrText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3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Введение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65355">
          <w:rPr>
            <w:rFonts w:ascii="Times New Roman" w:hAnsi="Times New Roman"/>
            <w:noProof/>
            <w:webHidden/>
            <w:sz w:val="28"/>
            <w:szCs w:val="28"/>
          </w:rPr>
          <w:t>5</w:t>
        </w:r>
      </w:hyperlink>
    </w:p>
    <w:p w:rsidR="005711B6" w:rsidRPr="005711B6" w:rsidRDefault="00620585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4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Глава 1. Теоретико-аналитическая часть. Анализ предметной области и обоснование исследовательского подхода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65355">
          <w:rPr>
            <w:rFonts w:ascii="Times New Roman" w:hAnsi="Times New Roman"/>
            <w:noProof/>
            <w:webHidden/>
            <w:sz w:val="28"/>
            <w:szCs w:val="28"/>
          </w:rPr>
          <w:t>8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5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1.1. Выбор направления исследования и постановка проблемы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65355">
          <w:rPr>
            <w:rFonts w:ascii="Times New Roman" w:hAnsi="Times New Roman"/>
            <w:noProof/>
            <w:webHidden/>
            <w:sz w:val="28"/>
            <w:szCs w:val="28"/>
          </w:rPr>
          <w:t>8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6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1.2. Ключевые понятия и современное состояние предметной области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65355">
          <w:rPr>
            <w:rFonts w:ascii="Times New Roman" w:hAnsi="Times New Roman"/>
            <w:noProof/>
            <w:webHidden/>
            <w:sz w:val="28"/>
            <w:szCs w:val="28"/>
          </w:rPr>
          <w:t>9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7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1.3. Литературный обзор и анализ существующих решений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65355">
          <w:rPr>
            <w:rFonts w:ascii="Times New Roman" w:hAnsi="Times New Roman"/>
            <w:noProof/>
            <w:webHidden/>
            <w:sz w:val="28"/>
            <w:szCs w:val="28"/>
          </w:rPr>
          <w:t>10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8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1.4. Анализ возможных путей решения задачи и сравнительная оценка методов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_Toc227440398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2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399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1.5. Выбранная общая методика исследования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_Toc227440399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0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1.6. Выводы по теоретико-аналитической части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_Toc227440400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1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Глава 2. Практическая часть. Стартап-проект, индивидуальные результаты и экономическое обоснование DotaSenseAI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_Toc227440401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2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2.1. Проблема и актуальность проектного решения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_Toc227440402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3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2.2. Цель и задачи проекта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_Toc227440403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4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2.3. Целевая аудитория и сегментация пользователей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_Toc227440404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5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2.4. Состояние рынка и рыночные тенденции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_Toc227440405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6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2.5. Конкурентная среда проекта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_Toc227440406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7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2.6. Описание продукта и его функционального назначения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_Toc227440407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1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8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2.7. Ключевые преимущества, бизнес-модель и потенциал масштабирования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21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09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2.8. Выводы по первому подразделу практической части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_Toc227440409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2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2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10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2.9. Индивидуальные результаты обучающегося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_Toc227440410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2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11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2.10. Экономическое обоснование проекта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30</w:t>
        </w:r>
      </w:hyperlink>
    </w:p>
    <w:p w:rsidR="005711B6" w:rsidRPr="005711B6" w:rsidRDefault="00620585" w:rsidP="005711B6">
      <w:pPr>
        <w:pStyle w:val="3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12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2.11. Выводы по практической части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_Toc227440412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13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Заключение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_Toc227440413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620585" w:rsidP="005711B6">
      <w:pPr>
        <w:pStyle w:val="21"/>
        <w:tabs>
          <w:tab w:val="right" w:leader="dot" w:pos="9628"/>
        </w:tabs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hyperlink w:anchor="_Toc227440414" w:history="1"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Список</w:t>
        </w:r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  <w:lang w:val="en-US"/>
          </w:rPr>
          <w:t xml:space="preserve"> </w:t>
        </w:r>
        <w:r w:rsidR="005711B6" w:rsidRPr="005711B6">
          <w:rPr>
            <w:rStyle w:val="a8"/>
            <w:rFonts w:ascii="Times New Roman" w:hAnsi="Times New Roman"/>
            <w:b/>
            <w:noProof/>
            <w:sz w:val="28"/>
            <w:szCs w:val="28"/>
          </w:rPr>
          <w:t>литературы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_Toc227440414 \h </w:instrTex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="00CC4B59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5711B6" w:rsidRPr="005711B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:rsidR="005711B6" w:rsidRPr="005711B6" w:rsidRDefault="005711B6" w:rsidP="005711B6">
      <w:pPr>
        <w:spacing w:after="0" w:line="360" w:lineRule="auto"/>
        <w:jc w:val="both"/>
      </w:pPr>
      <w:r w:rsidRPr="005711B6">
        <w:rPr>
          <w:rFonts w:ascii="Times New Roman" w:hAnsi="Times New Roman"/>
          <w:b/>
          <w:bCs/>
          <w:sz w:val="28"/>
          <w:szCs w:val="28"/>
        </w:rPr>
        <w:fldChar w:fldCharType="end"/>
      </w:r>
      <w:bookmarkStart w:id="3" w:name="_Toc227440393"/>
    </w:p>
    <w:p w:rsidR="005711B6" w:rsidRPr="005711B6" w:rsidRDefault="005711B6" w:rsidP="005711B6">
      <w:pPr>
        <w:rPr>
          <w:lang w:val="ru" w:eastAsia="ru-RU"/>
        </w:rPr>
      </w:pPr>
    </w:p>
    <w:p w:rsidR="005711B6" w:rsidRPr="005711B6" w:rsidRDefault="005711B6" w:rsidP="005711B6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1B6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3"/>
    </w:p>
    <w:p w:rsidR="007E7142" w:rsidRPr="005711B6" w:rsidRDefault="005711B6" w:rsidP="005711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711B6">
        <w:rPr>
          <w:rFonts w:ascii="Times New Roman" w:eastAsia="Times New Roman" w:hAnsi="Times New Roman"/>
          <w:sz w:val="28"/>
          <w:szCs w:val="28"/>
        </w:rPr>
        <w:t>Современная цифровая среда предъявляет повышенные требования к скорости освоения профессиональных навыков и качеству прикладной подготовки пользователей. Особенно остро данная проблема проявляется в динамичных предметных областях, где знания быстро устаревают, а результат зависит не только от теоретической осведомленности, но и от способности интерпретировать изменяющийся контекст и принимать решения в условиях высокой вариативности. К таким областям относится киберспорт, в частности игра "Dota 2", в которой пользователю необходимо одновременно развивать уровень владения игровыми механиками, стратегическое мышление, командное взаимодействие и способность к быстрой адаптации.</w:t>
      </w:r>
    </w:p>
    <w:p w:rsidR="007E7142" w:rsidRPr="00A00521" w:rsidRDefault="007E7142" w:rsidP="005711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711B6">
        <w:rPr>
          <w:rFonts w:ascii="Times New Roman" w:eastAsia="Times New Roman" w:hAnsi="Times New Roman"/>
          <w:sz w:val="28"/>
          <w:szCs w:val="28"/>
        </w:rPr>
        <w:t>Выбор темы обусловлен сочетанием исследовательской и прикладной значимости. С научной точки зрения интерес представляет возможность построения персонализированной обучающей системы на основе GenAI, RAG и агентного подхода. С прикладной точки зрения работа выполняется в формате выпускной квалификационной</w:t>
      </w:r>
      <w:r w:rsidRPr="00A00521">
        <w:rPr>
          <w:rFonts w:ascii="Times New Roman" w:eastAsia="Times New Roman" w:hAnsi="Times New Roman"/>
          <w:sz w:val="28"/>
          <w:szCs w:val="28"/>
        </w:rPr>
        <w:t xml:space="preserve"> работы как стартап-проекта и ориентирована на создание цифрового продукта "DotaSenseAI", предназначенного для решения конкретной пользовательской задачи. Речь идет не об абстрактной исследовательской модели, а о проектировании продукта, который может быть реализован в виде сервиса персонализированной интеллектуальной поддержки и в дальнейшем развиваться как коммерческое и масштабируемое решение.</w:t>
      </w:r>
    </w:p>
    <w:p w:rsidR="007E7142" w:rsidRPr="00A00521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 xml:space="preserve">Актуальность темы обусловлена несколькими обстоятельствами. Во-первых, в образовательных и прикладных цифровых системах растет значение персонализации, поскольку пользователи ожидают не только доступа к информации, но и адаптивной поддержки, учитывающей их уровень подготовки, контекст и индивидуальные проблемы. Во-вторых, развитие генеративного искусственного интеллекта создает предпосылки для перехода от статических обучающих материалов к диалоговым сценариям сопровождения. В-третьих, для предметной области "Dota 2" принципиально важна актуальность доменных знаний, поскольку обновления и развитие </w:t>
      </w:r>
      <w:r w:rsidRPr="00A00521">
        <w:rPr>
          <w:rFonts w:ascii="Times New Roman" w:eastAsia="Times New Roman" w:hAnsi="Times New Roman"/>
          <w:sz w:val="28"/>
          <w:szCs w:val="28"/>
        </w:rPr>
        <w:lastRenderedPageBreak/>
        <w:t>игровых стратегий быстро делают устаревшими традиционные гайды и заранее подготовленные рекомендации.</w:t>
      </w:r>
    </w:p>
    <w:p w:rsidR="007E7142" w:rsidRPr="00A00521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Проблема исследования заключается в том, что существующие форматы обучения и аналитической поддержки в рассматриваемой предметной области в большинстве случаев не обеспечивают достаточного уровня персонализации и контекстной интерпретации. Традиционные гайды, видеоматериалы и статические курсы предоставляют полезную информацию, однако не учитывают индивидуальные ошибки игрока, его текущий уровень подготовки, специфику игровых матчей и динамику прогресса. Аналитические платформы, в свою очередь, предоставляют статистические показатели, но часто оставляют пользователю задачу самостоятельной интерпретации этих данных и их преобразования в практические действия. В результате возникает противоречие между потребностью потенциального конечного потребителя в персонализированном обучении и ограниченными возможностями существующих решений.</w:t>
      </w:r>
    </w:p>
    <w:p w:rsidR="007E7142" w:rsidRPr="00A00521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Стартап-направленность работы определяется тем, что в ее основе лежит идея создания нового цифрового продукта с выраженным функциональным назначением, ориентированного на конкретного пользователя и обладающего потенциалом дальнейшей коммерциализации и масштабирования. В рамках работы "DotaSenseAI" рассматривается как чат-бот с пользовательским UI-интерфейсом, объединяющий анализ пользовательских данных, доменную базу знаний и взаимодействие со специализированными AI-агентами. Предполагается, что такая архитектура позволит повысить качество интерпретации игровых данных, сделать рекомендации более адресными и сформировать основу для воспроизводимого развития продукта.</w:t>
      </w:r>
    </w:p>
    <w:p w:rsidR="007E7142" w:rsidRPr="00A00521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 xml:space="preserve">Целью выпускной квалификационной работы является разработка платформы "DotaSenseAI" для развития профессиональных навыков пользователей в среде "Dota 2" с использованием технологий генеративного искусственного интеллекта, RAG и агентного подхода, обеспечивающих </w:t>
      </w:r>
      <w:r w:rsidRPr="00A00521">
        <w:rPr>
          <w:rFonts w:ascii="Times New Roman" w:eastAsia="Times New Roman" w:hAnsi="Times New Roman"/>
          <w:sz w:val="28"/>
          <w:szCs w:val="28"/>
        </w:rPr>
        <w:lastRenderedPageBreak/>
        <w:t>персонализированное сопровождение, объяснимую интерпретацию данных и актуализацию образовательного контекста.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Практическая значимость работы состоит в разработке концепции, архитектурной модели и проектных решений, пригодных для последующего создания цифрового продукта и его развития в формате стартап-проекта. Теоретическая значимость заключается в обосновании применимости сочетания GenAI, RAG и управляемой агентной архитектуры для построения персонализированных обучающих систем в сложной и быстро изменяющейся предметной области.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Toc227439612"/>
      <w:bookmarkStart w:id="5" w:name="_Toc227440394"/>
      <w:r w:rsidRPr="007E7142">
        <w:rPr>
          <w:rFonts w:ascii="Times New Roman" w:hAnsi="Times New Roman" w:cs="Times New Roman"/>
          <w:b/>
          <w:sz w:val="28"/>
          <w:szCs w:val="28"/>
        </w:rPr>
        <w:lastRenderedPageBreak/>
        <w:t>Глава 1. Теоретико-аналитическая часть. Анализ предметной области и обоснование исследовательского подхода</w:t>
      </w:r>
      <w:bookmarkEnd w:id="4"/>
      <w:bookmarkEnd w:id="5"/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6" w:name="_ybhgwtdftvq0" w:colFirst="0" w:colLast="0"/>
      <w:bookmarkStart w:id="7" w:name="_Toc227439613"/>
      <w:bookmarkStart w:id="8" w:name="_Toc227440395"/>
      <w:bookmarkEnd w:id="6"/>
      <w:r w:rsidRPr="007E7142">
        <w:rPr>
          <w:rFonts w:ascii="Times New Roman" w:hAnsi="Times New Roman"/>
          <w:b/>
          <w:color w:val="auto"/>
          <w:sz w:val="28"/>
          <w:szCs w:val="28"/>
        </w:rPr>
        <w:t>1.1. Выбор направления исследования и постановка проблемы</w:t>
      </w:r>
      <w:bookmarkEnd w:id="7"/>
      <w:bookmarkEnd w:id="8"/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9" w:name="_h7r72vzca8n8" w:colFirst="0" w:colLast="0"/>
      <w:bookmarkEnd w:id="9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1.1.1. Специфика предметной области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Разработка "DotaSenseAI" рассматривается в контексте цифровых систем, ориентированных на персонализированное развитие навыков в динамичной предметной области. Для "Dota 2" характерны регулярные обновления, изменения баланса, появление новых пользовательских стратегий и зависимость результата от множества взаимосвязанных факторов [1]. Это означает, что любая обучающая система для данной области должна учитывать не только общий уровень подготовки пользователя, но и текущее состояние игрового контекста.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По этой причине статические обучающие материалы не способны в полной мере обеспечивать эффективную поддержку пользователя. Содержащаяся в них информация быстро теряет актуальность, а качество принятия решений все в большей степени определяется способностью интерпретировать конкретные игровые ситуации с учетом патча, роли, особенностей матча и индивидуального профиля игрока. Следовательно, исследование в данной работе направлено на поиск такой модели цифровой поддержки, которая сочетает актуальность доменных знаний, персонализацию и возможность объяснения рекомендаций.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10" w:name="_j5ro3yu0bl66" w:colFirst="0" w:colLast="0"/>
      <w:bookmarkEnd w:id="10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1.1.2. Постановка проблемы</w:t>
      </w:r>
    </w:p>
    <w:p w:rsidR="007E7142" w:rsidRPr="007E7142" w:rsidRDefault="007E7142" w:rsidP="00CC4B5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Проблема состоит в том, что существующие цифровые средства поддержки игрока чаще всего решают задачу лишь частично. Одни инструменты обеспечивают доступ к статистическим данным, другие дают общие текстовые рекомендации, третьи предлагают готовые обучающие материалы. Однако между этими форматами сохраняется разрыв: данные не всегда преобразуются в понятные рекомендации, рекомендации не всегда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учитывают личный контекст пользователя, а обучающие материалы не всегда отражают актуальное со</w:t>
      </w:r>
      <w:r w:rsidR="00CC4B59">
        <w:rPr>
          <w:rFonts w:ascii="Times New Roman" w:eastAsia="Times New Roman" w:hAnsi="Times New Roman"/>
          <w:sz w:val="28"/>
          <w:szCs w:val="28"/>
        </w:rPr>
        <w:t>стояние предметной области.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Таким образом, в профессиональной и прикладной плоскости возникает задача разработки системы, которая могла бы объединить пользовательские данные, доменную базу знаний и механизм объяснимого диалогового сопровождения. Именно эта задача определяет направление настоящего исследования и задает основание для дальнейшего проектирования стартап-проекта "DotaSenseAI".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1" w:name="_mx4f5gds72k9" w:colFirst="0" w:colLast="0"/>
      <w:bookmarkStart w:id="12" w:name="_Toc227439614"/>
      <w:bookmarkStart w:id="13" w:name="_Toc227440396"/>
      <w:bookmarkEnd w:id="11"/>
      <w:r w:rsidRPr="007E7142">
        <w:rPr>
          <w:rFonts w:ascii="Times New Roman" w:hAnsi="Times New Roman"/>
          <w:b/>
          <w:color w:val="auto"/>
          <w:sz w:val="28"/>
          <w:szCs w:val="28"/>
        </w:rPr>
        <w:t>1.2. Ключевые понятия и современное состояние предметной области</w:t>
      </w:r>
      <w:bookmarkEnd w:id="12"/>
      <w:bookmarkEnd w:id="13"/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14" w:name="_dx3lkpld4vo1" w:colFirst="0" w:colLast="0"/>
      <w:bookmarkEnd w:id="14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1.2.1. Персонализированное обучение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Под персонализированным обучением в настоящем исследовании понимается форма интеллектуального сопровождения, при которой рекомендации, объяснения и траектория взаимодействия адаптируются к уровню пользователя, его опыту, типичным ошибкам и текущим целям развития [2]. Исследования в области "adaptive learning" показывают, что результативность образовательной среды возрастает в том случае, когда содержание и логика подачи материала подстраиваются под индивидуальные особенности обучающегося [2].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Для игровой аналитики данный принцип имеет особое значение. Один и тот же набор показателей может требовать различной интерпретации в зависимости от игровой роли, стадии освоения предметной области и типовых паттернов поведения пользователя. Следовательно, в рассматриваемом домене персонализация должна затрагивать не только содержание ответа, но и способ его объяснения.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15" w:name="_etw4o9t39xmk" w:colFirst="0" w:colLast="0"/>
      <w:bookmarkEnd w:id="15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1.2.2. Генеративный искусственный интеллект и RAG</w:t>
      </w:r>
    </w:p>
    <w:p w:rsidR="007E7142" w:rsidRPr="007E7142" w:rsidRDefault="007E7142" w:rsidP="00CC4B5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Под генеративным искусственным интеллектом понимаются модели, способные формировать осмысленные ответы, объяснения и рекомендации на естественном языке. Существенную роль в развитии таких систем играют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 xml:space="preserve">большие языковые модели, позволяющие организовать диалоговое взаимодействие, варьировать глубину объяснения и адаптировать структуру </w:t>
      </w:r>
      <w:r w:rsidR="00CC4B59">
        <w:rPr>
          <w:rFonts w:ascii="Times New Roman" w:eastAsia="Times New Roman" w:hAnsi="Times New Roman"/>
          <w:sz w:val="28"/>
          <w:szCs w:val="28"/>
        </w:rPr>
        <w:t>ответа к конкретной задаче [3].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Вместе с тем применение языковых моделей в изолированном виде связано с риском использования устаревших данных, появления галлюцинаций и недостаточной проверяемости ответа. В связи с этим значимым направлением развития интеллектуальных систем стала архитектура "Retrieval-Augmented Generation", предполагающая обращение к внешней базе знаний и использование найденного контекста при формировании ответа [4]. Для "knowledge-intensive" задач такой подход обеспечивает большую релевантность и позволяет повысить обоснованность рекомендации.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16" w:name="_goqo2wls88ps" w:colFirst="0" w:colLast="0"/>
      <w:bookmarkEnd w:id="16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1.2.3. Агентный подход и архитектурная управляемость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Под AI-агентом в данной работе понимается специализированный программный компонент, который выполняет ограниченный класс задач в рамках общего пользовательского сценария. Агентный подход позволяет распределить обработку между несколькими ролями, уменьшить контекстную перегрузку одного компонента и повысить управляемость системы [5].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Для динамичных предметных областей принципиально важна не только генерация ответа, но и управляемость всего контура работы с данными, знаниями и конфигурациями поведения. По этой причине в рамках исследования рассматривается архитектурное обобщение FIT-паттерна, позволяющее согласовать процессы обновления знаний, хранения подготовленных представлений, версионирования конфигураций агентов и проведения воспроизводимых экспериментов.</w:t>
      </w:r>
    </w:p>
    <w:p w:rsidR="00CC4B59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17" w:name="_hd6n1uh0o2jq" w:colFirst="0" w:colLast="0"/>
      <w:bookmarkStart w:id="18" w:name="_Toc227439615"/>
      <w:bookmarkStart w:id="19" w:name="_Toc227440397"/>
      <w:bookmarkEnd w:id="17"/>
      <w:r w:rsidRPr="007E7142">
        <w:rPr>
          <w:rFonts w:ascii="Times New Roman" w:hAnsi="Times New Roman"/>
          <w:b/>
          <w:color w:val="auto"/>
          <w:sz w:val="28"/>
          <w:szCs w:val="28"/>
        </w:rPr>
        <w:t>1.3. Литературный обзор и анализ существующих решений</w:t>
      </w:r>
      <w:bookmarkEnd w:id="18"/>
      <w:bookmarkEnd w:id="19"/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20" w:name="_ptl94d64cmw7" w:colFirst="0" w:colLast="0"/>
      <w:bookmarkEnd w:id="20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1.3.1. Образовательные платформы с использованием GenAI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Исследования, посвященные использованию больших языковых моделей в роли виртуальных тьюторов, показывают, что GenAI способен поддерживать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объяснение учебного материала, задавать уточняющие вопросы и адаптировать форму ответа к уровню обучающегося [3]. Практическое подтверждение этого подхода демонстрируют современные образовательные платформы. Показательным примером является "Khanmigo", где "GPT-4" применяется в формате AI-тьютора, направляющего ученика через систему вопросов и опирающегося на образовательный контент самой платформы [6].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Сходную логику демонстрирует "Duolingo Max", в котором генеративная модель используется для интерактивных сценариев языковой практики и последующей обратной связи [7]. Эти примеры подтверждают, что генеративные модели способны выполнять функцию диалогового сопровождения, однако они ориентированы преимущественно на классические образовательные сценарии и не учитывают специфику игровой аналитики, персональных матчевых данных и быстро меняющегося доменного контекста.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21" w:name="_6em633jyab4" w:colFirst="0" w:colLast="0"/>
      <w:bookmarkEnd w:id="21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t>1.3.2. Инструменты игровой аналитики и киберспортивные сервисы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 сегменте киберспорта распространены решения, ориентированные на сбор, обработку и визуализацию послематчевых данных. Наиболее показательными примерами для домена "Dota 2" являются "OpenDota" и "STRATZ", предоставляющие статистику по матчам, героям, игрокам и игровым тенденциям [8; 9]. Их сильной стороной является аналитическая глубина и доступ к объективным данным, что делает такие платформы важным источником фактического материала.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Вместе с тем основной фокус подобных сервисов сделан на представлении метрик, а не на обучающем диалоге. Пользователь получает результат анализа, но, как правило, вынужден самостоятельно интерпретировать его и преобразовывать в практические шаги для развития навыков. Следовательно, такие решения хорошо поддерживают задачу предоставления данных, но в меньшей степени решают задачу персонализированного объяснения и сопровождения.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22" w:name="_e820j1rcgzvc" w:colFirst="0" w:colLast="0"/>
      <w:bookmarkEnd w:id="22"/>
      <w:r w:rsidRPr="007E7142">
        <w:rPr>
          <w:rFonts w:ascii="Times New Roman" w:hAnsi="Times New Roman"/>
          <w:b/>
          <w:i w:val="0"/>
          <w:color w:val="auto"/>
          <w:sz w:val="28"/>
          <w:szCs w:val="28"/>
        </w:rPr>
        <w:lastRenderedPageBreak/>
        <w:t>1.3.3. AI-ассистенты общего назначения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Отдельную группу составляют AI-ассистенты общего назначения, такие как "ChatGPT", "Claude" и "Gemini" [14; 15; 16]. Они способны отвечать на вопросы о "Dota 2" и формировать общие рекомендации, однако их ответы не всегда учитывают текущую версию игры, специфику конкретного пользователя и его персональные игровые данные. Кроме того, такие системы не ориентированы на интеграцию с доменной базой знаний, подготовленной под конкретную предметную область.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 результате данные инструменты удобны как универсальные помощники, но не заменяют специализированную цифровую платформу, в которой объяснение рекомендации строится на сочетании пользовательских данных, актуального доменного контекста и управляемой архитектуры.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23" w:name="_46ofbwc88295" w:colFirst="0" w:colLast="0"/>
      <w:bookmarkStart w:id="24" w:name="_Toc227439616"/>
      <w:bookmarkStart w:id="25" w:name="_Toc227440398"/>
      <w:bookmarkEnd w:id="23"/>
      <w:r w:rsidRPr="007E7142">
        <w:rPr>
          <w:rFonts w:ascii="Times New Roman" w:hAnsi="Times New Roman"/>
          <w:b/>
          <w:color w:val="auto"/>
          <w:sz w:val="28"/>
          <w:szCs w:val="28"/>
        </w:rPr>
        <w:t>1.4. Анализ возможных путей решения задачи и сравнительная оценка методов</w:t>
      </w:r>
      <w:bookmarkEnd w:id="24"/>
      <w:bookmarkEnd w:id="25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Для решения поставленной задачи можно выделить несколько базовых подходов.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Первый подход основан на использовании статических обучающих материалов и заранее подготовленных методических рекомендаций. Его преимуществами являются относительная простота подготовки контента и высокая контролируемость формулировок. Однако данный подход плохо адаптируется к изменениям предметной области и практически не обеспечивает персонализацию.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Второй подход связан с применением аналитических платформ, работающих преимущественно со статистическими и матчевыми данными. Его достоинство заключается в опоре на объективные показатели, но ограничением остается слабая объяснимость результата и необходимость самостоятельной интерпретации со стороны пользователя.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Третий подход состоит в использовании генеративной языковой модели без внешнего контура актуализации знаний. Такой вариант позволяет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организовать диалоговое взаимодействие и сформировать рекомендации в естественно-языковой форме, однако он ограничен риском галлюцинаций, зависимостью от общего обучающего корпуса модели и недостаточной воспроизводимостью поведения.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Четвертый подход предполагает использование GenAI в сочетании с RAG. По сравнению с предыдущими вариантами он обеспечивает лучшую контекстную релевантность ответа за счет опоры на внешнюю базу знаний. Однако при высокой сложности пользовательских сценариев даже этого может оказаться недостаточно, если в системе отсутствуют явное разделение ролей, механизм маршрутизации задач и контур контроля качества.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Сравнительная оценка показывает, что наилучшей исследовательской и прикладной основой для рассматриваемой работы является комбинация GenAI, RAG и агентного подхода. Именно такое сочетание позволяет одновременно поддерживать диалог, персонализацию, актуальность доменных знаний и архитектурную управляемость. Дополнительное значение имеет использование обобщения FIT-паттерна как методологического принципа организации данных, знаний и конфигураций поведения системы.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26" w:name="_mixms0wusj53" w:colFirst="0" w:colLast="0"/>
      <w:bookmarkStart w:id="27" w:name="_Toc227439617"/>
      <w:bookmarkStart w:id="28" w:name="_Toc227440399"/>
      <w:bookmarkEnd w:id="26"/>
      <w:r w:rsidRPr="007E7142">
        <w:rPr>
          <w:rFonts w:ascii="Times New Roman" w:hAnsi="Times New Roman"/>
          <w:b/>
          <w:color w:val="auto"/>
          <w:sz w:val="28"/>
          <w:szCs w:val="28"/>
        </w:rPr>
        <w:t>1.5. Выбранная общая методика исследования</w:t>
      </w:r>
      <w:bookmarkEnd w:id="27"/>
      <w:bookmarkEnd w:id="28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 качестве общей методики исследования в работе используется системно-проектный подход, сочетающий анализ предметной области, обзор литературы и существующих решений, постановку прикладной проблемы, сравнительную оценку альтернативных путей ее решения и последующее проектирование цифрового продукта. Такая методика позволяет связать теоретические основания с требованиями к стартап-проекту и перейти от аналитического описания проблемы к разработке архитектурной модели решения.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На теоретическом уровне методика включает анализ исследований по персонализированному обучению, GenAI, RAG и агентным системам [2; 3; 4; 5]. На прикладном уровне она предполагает оценку существующих платформ и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сервисов с точки зрения персонализации, актуальности контекста, объяснимости рекомендаций и пригодности для использования в динамичной предметной области [6; 7; 8; 9; 14; 15; 16]. На проектном уровне выбранная методика ориентирована на разработку архитектуры, в которой объединяются контур пользовательского взаимодействия, база знаний и контур экспериментов.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Таким образом, выбранная методика исследования соответствует как академической задаче анализа и обоснования подхода, так и прикладной задаче проектирования стартап-продукта.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29" w:name="_d1uax8hiccb8" w:colFirst="0" w:colLast="0"/>
      <w:bookmarkStart w:id="30" w:name="_Toc227439618"/>
      <w:bookmarkStart w:id="31" w:name="_Toc227440400"/>
      <w:bookmarkEnd w:id="29"/>
      <w:r w:rsidRPr="007E7142">
        <w:rPr>
          <w:rFonts w:ascii="Times New Roman" w:hAnsi="Times New Roman"/>
          <w:b/>
          <w:color w:val="auto"/>
          <w:sz w:val="28"/>
          <w:szCs w:val="28"/>
        </w:rPr>
        <w:t>1.6. Выводы по теоретико-аналитической части</w:t>
      </w:r>
      <w:bookmarkEnd w:id="30"/>
      <w:bookmarkEnd w:id="31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 первой главе определены направление исследования, специфика предметной области и постановка проблемы, связанной с недостаточной персонализацией и слабой интерпретируемостью существующих средств поддержки пользователей в среде "Dota 2".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Проведенный литературный обзор и анализ существующих решений показали, что ни статические обучающие материалы, ни аналитические сервисы, ни AI-ассистенты общего назначения не обеспечивают одновременно персонализацию, актуальность доменных знаний, объяснимость рекомендаций и архитектурную управляемость.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Сравнительная оценка методов позволила обосновать выбор подхода, сочетающего GenAI, RAG, агентную организацию и архитектурное обобщение FIT-паттерна. Полученные результаты формируют теоретическую основу практической части, в которой рассматриваются стартап-концепция проекта, индивидуальные результаты автора и экономическое обоснование "DotaSenseAI".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2" w:name="_idzzovtw68zv" w:colFirst="0" w:colLast="0"/>
      <w:bookmarkStart w:id="33" w:name="_Toc227439619"/>
      <w:bookmarkStart w:id="34" w:name="_Toc227440401"/>
      <w:bookmarkEnd w:id="32"/>
      <w:r w:rsidRPr="007E7142">
        <w:rPr>
          <w:rFonts w:ascii="Times New Roman" w:hAnsi="Times New Roman" w:cs="Times New Roman"/>
          <w:b/>
          <w:sz w:val="28"/>
          <w:szCs w:val="28"/>
        </w:rPr>
        <w:lastRenderedPageBreak/>
        <w:t>Глава 2. Практическая часть. Стартап-проект, индивидуальные результаты и экономическое обоснование DotaSenseAI</w:t>
      </w:r>
      <w:bookmarkEnd w:id="33"/>
      <w:bookmarkEnd w:id="34"/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35" w:name="_2bt82nlgme5w" w:colFirst="0" w:colLast="0"/>
      <w:bookmarkStart w:id="36" w:name="_Toc227439620"/>
      <w:bookmarkStart w:id="37" w:name="_Toc227440402"/>
      <w:bookmarkEnd w:id="35"/>
      <w:r w:rsidRPr="007E7142">
        <w:rPr>
          <w:rFonts w:ascii="Times New Roman" w:hAnsi="Times New Roman"/>
          <w:b/>
          <w:color w:val="auto"/>
          <w:sz w:val="28"/>
          <w:szCs w:val="28"/>
        </w:rPr>
        <w:t>2.1. Проблема и актуальность проектного решения</w:t>
      </w:r>
      <w:bookmarkEnd w:id="36"/>
      <w:bookmarkEnd w:id="37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Практическая часть работы посвящена рассмотрению платформы "DotaSenseAI" как стартап-проекта, ориентированного на создание цифрового продукта для персонализированного развития игровых навыков пользователей. Актуальность такого решения определяется ростом спроса на цифровые сервисы, способные не только предоставлять информацию, но и сопровождать пользователя в процессе освоения сложной предметной области [2; 3].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 контексте "Dota 2" данная проблема проявляется особенно отчетливо. Пользователь сталкивается с большим объемом статистики, неструктурированными обучающими материалами и быстро меняющейся игровой средой, в которой эффективность решений зависит от контекста конкретного матча, уровня подготовки и индивидуальных особенностей игрока [1]. Существующие цифровые решения, как правило, развиваются по отдельным направлениям: аналитические сервисы фокусируются на статистике, платформы автоматического разбора игровых эпизодов - на послематчевом анализе, а AI-ассистенты общего назначения - на универсальном диалоге без глубокой привязки к пользовательским данным и специализированному игровому контексту [8; 9; 13; 14; 15; 16].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Таким образом, практическая проблема проекта состоит в отсутствии целостной системы персонализированного сопровождения, которая сочетала бы анализ игровых данных, актуальную базу знаний и объяснимое диалоговое взаимодействие.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38" w:name="_6y774hpngjz8" w:colFirst="0" w:colLast="0"/>
      <w:bookmarkStart w:id="39" w:name="_Toc227439621"/>
      <w:bookmarkStart w:id="40" w:name="_Toc227440403"/>
      <w:bookmarkEnd w:id="38"/>
      <w:r w:rsidRPr="007E7142">
        <w:rPr>
          <w:rFonts w:ascii="Times New Roman" w:hAnsi="Times New Roman"/>
          <w:b/>
          <w:color w:val="auto"/>
          <w:sz w:val="28"/>
          <w:szCs w:val="28"/>
        </w:rPr>
        <w:t>2.2. Цель и задачи проекта</w:t>
      </w:r>
      <w:bookmarkEnd w:id="39"/>
      <w:bookmarkEnd w:id="40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Цель стартап-проекта "DotaSenseAI" заключается в создании цифровой платформы, обеспечивающей персонализированную интеллектуальную поддержку пользователей в процессе развития навыков в среде "Dota 2".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Для достижения поставленной цели в проекте решаются следующие задачи: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1. организация сбора и интерпретации пользовательских игровых данных;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2. формирование актуализируемой доменной базы знаний;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3. разработка механизма диалогового взаимодействия со специализированными AI-агентами;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4. формирование персонализированных рекомендаций с учетом уровня пользователя, его игровых особенностей и целей развития;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5. обеспечение предпосылок для масштабирования продукта и его дальнейшей коммерциализации.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41" w:name="_lewa512yn0wi" w:colFirst="0" w:colLast="0"/>
      <w:bookmarkStart w:id="42" w:name="_Toc227439622"/>
      <w:bookmarkStart w:id="43" w:name="_Toc227440404"/>
      <w:bookmarkEnd w:id="41"/>
      <w:r w:rsidRPr="007E7142">
        <w:rPr>
          <w:rFonts w:ascii="Times New Roman" w:hAnsi="Times New Roman"/>
          <w:b/>
          <w:color w:val="auto"/>
          <w:sz w:val="28"/>
          <w:szCs w:val="28"/>
        </w:rPr>
        <w:t>2.3. Целевая аудитория и сегментация пользователей</w:t>
      </w:r>
      <w:bookmarkEnd w:id="42"/>
      <w:bookmarkEnd w:id="43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Целевую аудиторию платформы "DotaSenseAI" можно разделить на несколько основных сегментов. Первый сегмент составляют игроки-любители и полупрофессиональные пользователи, заинтересованные в системном развитии навыков, но не имеющие постоянного доступа к персональному тренеру. Для данной группы важны доступность рекомендаций, наглядность интерпретации игровых данных и возможность получать помощь в удобном цифровом формате.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Второй сегмент включает более мотивированных игроков, стремящихся повысить рейтинг, улучшить понимание игровых закономерностей и выстроить персональную траекторию обучения. Для этой группы особенно значимы углубленная аналитика, адаптация рекомендаций под текущий уровень пользователя и возможность задавать уточняющие вопросы в диалоговом режиме [2; 3].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 xml:space="preserve">Третий сегмент связан с образовательными и киберспортивными сообществами, которые потенциально могут использовать платформу как вспомогательный инструмент для обучения, наставничества и анализа прогресса участников. Следовательно, проект ориентирован не на массовое потребление универсального контента, а на пользователей, которым требуется </w:t>
      </w: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персонализированная интеллектуальная поддержка и содержательная интерпретация собственной игровой практики.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44" w:name="_7s4ws1xybbs4" w:colFirst="0" w:colLast="0"/>
      <w:bookmarkStart w:id="45" w:name="_Toc227439623"/>
      <w:bookmarkStart w:id="46" w:name="_Toc227440405"/>
      <w:bookmarkEnd w:id="44"/>
      <w:r w:rsidRPr="007E7142">
        <w:rPr>
          <w:rFonts w:ascii="Times New Roman" w:hAnsi="Times New Roman"/>
          <w:b/>
          <w:color w:val="auto"/>
          <w:sz w:val="28"/>
          <w:szCs w:val="28"/>
        </w:rPr>
        <w:t>2.4. Состояние рынка и рыночные тенденции</w:t>
      </w:r>
      <w:bookmarkEnd w:id="45"/>
      <w:bookmarkEnd w:id="46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Рынок, в рамках которого может развиваться "DotaSenseAI", формируется на пересечении нескольких направлений: цифрового образования, аналитических сервисов и интеллектуальных AI-ассистентов. По данным "HolonIQ", мировой рынок образовательных технологий к 2025 году достигает 404 млрд долларов при среднегодовом темпе роста 16,3 %, что указывает на устойчивое расширение цифрового образовательного сегмента [11]. Одновременно "Grand View Research" оценивает рынок "AI in Education" в 5,88 млрд долларов в 2024 году и прогнозирует его рост до 32,27 млрд долларов к 2030 году [10].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С точки зрения рыночной динамики значимыми являются рост спроса на персонализированные цифровые сервисы, распространение подписочных моделей потребления и увеличение роли GenAI в пользовательских сценариях. В игровой среде данный контекст также остается масштабным: согласно "Newzoo", мировой игровой рынок в 2025 году оценивается примерно в 188,8 млрд долларов, а глобальная аудитория игроков достигает 3,6 млрд человек [12]. Это позволяет рассматривать проект не только как нишевое решение, но и как часть более широкого тренда на адаптивные интеллектуальные сервисы.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47" w:name="_v5ua6mnq0i55" w:colFirst="0" w:colLast="0"/>
      <w:bookmarkStart w:id="48" w:name="_Toc227439624"/>
      <w:bookmarkStart w:id="49" w:name="_Toc227440406"/>
      <w:bookmarkEnd w:id="47"/>
      <w:r w:rsidRPr="007E7142">
        <w:rPr>
          <w:rFonts w:ascii="Times New Roman" w:hAnsi="Times New Roman"/>
          <w:b/>
          <w:color w:val="auto"/>
          <w:sz w:val="28"/>
          <w:szCs w:val="28"/>
        </w:rPr>
        <w:t>2.5. Конкурентная среда проекта</w:t>
      </w:r>
      <w:bookmarkEnd w:id="48"/>
      <w:bookmarkEnd w:id="49"/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Конкурентная среда проекта включает несколько типов решений. К первой группе относятся аналитические сервисы, такие как "OpenDota" и "STRATZ", обеспечивающие доступ к статистике, визуализации и сравнению игровых показателей [8; 9]. Их преимуществом является высокая насыщенность данными, однако они в ограниченной степени помогают пользователю интерпретировать эти данные как основу для системного обучения.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lastRenderedPageBreak/>
        <w:t>Ко второй группе относятся платформы и инструменты, ориентированные на автоматический анализ реплеев и игровых эпизодов. Показательным примером является "Gosu.ai", предлагающая автоматизированный разбор матчей и персонализированные рекомендации [13]. Однако подобные решения в основном остаются ориентированными на послематчевый анализ и отчетный формат взаимодействия.</w:t>
      </w:r>
    </w:p>
    <w:p w:rsidR="007E7142" w:rsidRP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Третью группу составляют AI-ассистенты общего назначения, такие как "ChatGPT", "Claude" и "Gemini", которые могут отвечать на вопросы пользователя в диалоговом режиме, но не обладают выраженной доменной специализацией на "Dota 2" и, как правило, не интегрированы с персональными игровыми данными [14; 15; 16].</w:t>
      </w:r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На этом фоне "DotaSenseAI" занимает позицию специализированного продукта, объединяющего аналитику, контекстную базу знаний и персонализированное AI-сопровождение в едином пользовательском контуре.</w:t>
      </w:r>
    </w:p>
    <w:p w:rsidR="00CC4B59" w:rsidRPr="007E7142" w:rsidRDefault="00CC4B59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E7142" w:rsidRDefault="007E7142" w:rsidP="007E7142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50" w:name="_59tec79p1a5e" w:colFirst="0" w:colLast="0"/>
      <w:bookmarkStart w:id="51" w:name="_Toc227439625"/>
      <w:bookmarkStart w:id="52" w:name="_Toc227440407"/>
      <w:bookmarkEnd w:id="50"/>
      <w:r w:rsidRPr="007E7142">
        <w:rPr>
          <w:rFonts w:ascii="Times New Roman" w:hAnsi="Times New Roman"/>
          <w:b/>
          <w:color w:val="auto"/>
          <w:sz w:val="28"/>
          <w:szCs w:val="28"/>
        </w:rPr>
        <w:t>2.6. Описание продукта и его функционального назначения</w:t>
      </w:r>
      <w:bookmarkEnd w:id="51"/>
      <w:bookmarkEnd w:id="52"/>
    </w:p>
    <w:p w:rsidR="007E7142" w:rsidRDefault="007E7142" w:rsidP="007E714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E7142">
        <w:rPr>
          <w:rFonts w:ascii="Times New Roman" w:eastAsia="Times New Roman" w:hAnsi="Times New Roman"/>
          <w:sz w:val="28"/>
          <w:szCs w:val="28"/>
        </w:rPr>
        <w:t>Платформа "DotaSenseAI" рассматривается как интеллектуальный цифровой продукт, сочетающий анализ игровых данных, работу с доменной базой знаний и интерактивное взаимодействие со специализированными AI-агентами. Функциональное назначение продукта состоит в том, чтобы переводить количественные показатели и игровые события в понятные пользователю рекомендации, адаптированные к его уровню, стилю игры и целям развития [2; 3; 5].</w:t>
      </w:r>
    </w:p>
    <w:p w:rsidR="007E7142" w:rsidRPr="007E7142" w:rsidRDefault="00FE7773" w:rsidP="00CC4B59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</w:rPr>
      </w:pPr>
      <w:r w:rsidRPr="00C1632D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30240" cy="278892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9BC" w:rsidRPr="00CC4B59" w:rsidRDefault="007169BC" w:rsidP="00CC4B59">
      <w:pPr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  <w:r w:rsidRPr="00CC4B59">
        <w:rPr>
          <w:rFonts w:ascii="Times New Roman" w:eastAsia="Times New Roman" w:hAnsi="Times New Roman"/>
          <w:sz w:val="24"/>
          <w:szCs w:val="24"/>
        </w:rPr>
        <w:t>Рисунок 2.1. Общий вид пользовательского интерфейса платформы "DotaSenseAI".</w:t>
      </w:r>
    </w:p>
    <w:p w:rsidR="007169BC" w:rsidRPr="00A00521" w:rsidRDefault="007169BC" w:rsidP="007169BC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С продуктовой точки зрения решение ориентировано на несколько ключевых сценариев использования. Во-первых, пользователь может получать персонализированную диагностику сильных и слабых сторон на основе своих игровых данных. Во-вторых, система может формировать рекомендации по улучшению навыков, объясняя не только что именно следует изменить, но и почему это важно. В-третьих, платформа поддерживает диалоговый формат взаимодействия, в котором пользователь уточняет рекомендации, задает вопросы по механикам, стратегиям и игровым ситуациям и получает ответы с учетом контекста.</w:t>
      </w:r>
    </w:p>
    <w:p w:rsidR="007E7142" w:rsidRPr="00CC4B59" w:rsidRDefault="00FE7773" w:rsidP="00CC4B5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1632D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30240" cy="477774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9BC" w:rsidRPr="00CC4B59" w:rsidRDefault="007169BC" w:rsidP="00CC4B59">
      <w:pPr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  <w:r w:rsidRPr="00CC4B59">
        <w:rPr>
          <w:rFonts w:ascii="Times New Roman" w:eastAsia="Times New Roman" w:hAnsi="Times New Roman"/>
          <w:sz w:val="24"/>
          <w:szCs w:val="24"/>
        </w:rPr>
        <w:t>Рисунок 2.2. Пример интерфейса диалогового взаимодействия с AI-агентом.</w:t>
      </w:r>
    </w:p>
    <w:p w:rsidR="007169BC" w:rsidRDefault="007169BC" w:rsidP="007169BC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С точки зрения технической реализации продукт предполагает использование GenAI, механизмов поиска по внешней базе знаний и агентной логики взаимодействия [3; 4; 5]. Такая комбинация позволяет совместить персонализацию, актуальность рекомендаций и возможность контролируемого развития системы по мере накопления новых данных, сценариев и пользовательского опыта.</w:t>
      </w:r>
    </w:p>
    <w:p w:rsidR="007169BC" w:rsidRPr="00A00521" w:rsidRDefault="00FE7773" w:rsidP="007169BC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1632D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37860" cy="2842260"/>
            <wp:effectExtent l="0" t="0" r="0" b="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9BC" w:rsidRPr="00CC4B59" w:rsidRDefault="007169BC" w:rsidP="00CC4B59">
      <w:pPr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  <w:r w:rsidRPr="00CC4B59">
        <w:rPr>
          <w:rFonts w:ascii="Times New Roman" w:eastAsia="Times New Roman" w:hAnsi="Times New Roman"/>
          <w:sz w:val="24"/>
          <w:szCs w:val="24"/>
        </w:rPr>
        <w:t>Рисунок 2.3. Пример экрана с аналитикой, рекомендациями или пользовательским профилем.</w:t>
      </w:r>
    </w:p>
    <w:p w:rsidR="007169BC" w:rsidRPr="007169BC" w:rsidRDefault="007169BC" w:rsidP="007169BC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53" w:name="_Toc227439626"/>
      <w:bookmarkStart w:id="54" w:name="_Toc227440408"/>
      <w:r w:rsidRPr="007169BC">
        <w:rPr>
          <w:rFonts w:ascii="Times New Roman" w:hAnsi="Times New Roman"/>
          <w:b/>
          <w:color w:val="auto"/>
          <w:sz w:val="28"/>
          <w:szCs w:val="28"/>
        </w:rPr>
        <w:t>2.7. Ключевые преимущества, бизнес-модель и потенциал масштабирования</w:t>
      </w:r>
      <w:bookmarkEnd w:id="53"/>
      <w:bookmarkEnd w:id="54"/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Для "DotaSenseAI" принципиально важно, что платформа работает не только как справочник и не только как панель с метриками. Пользователь может передать игровые данные, получить разбор типичных ошибок, уточнить отдельный эпизод матча и сразу запросить рекомендации по роли, сборке или игровым решениям. В этом состоит отличие проекта от статических гайдов и сервисов, которые в основном показывают цифры без развернутого объяснения [2; 4; 5; 8; 9].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Ценность продукта связана не с абстрактной "интеллектуальной поддержкой", а с тем, что игровые показатели переводятся в понятные пользователю действия. Если аналитический сервис фиксирует просадку по фарму, смертям или таймингам, то здесь поверх этих данных может появиться объяснение причин и набор следующих шагов: что изменить в начале игры, на каких решениях пользователь чаще теряет темп и какие элементы стоит отработать в следующих матчах.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 xml:space="preserve">Наиболее естественной для такого продукта выглядит подписочная модель. Базовый уровень может давать доступ к ограниченному числу </w:t>
      </w:r>
      <w:r w:rsidRPr="007169BC">
        <w:rPr>
          <w:rFonts w:ascii="Times New Roman" w:eastAsia="Times New Roman" w:hAnsi="Times New Roman"/>
          <w:sz w:val="28"/>
          <w:szCs w:val="28"/>
        </w:rPr>
        <w:lastRenderedPageBreak/>
        <w:t>разборов, кратким рекомендациям и общему диалоговому сценарию. Расширенный тариф уместно связывать уже с более глубоким анализом матчей, сохранением истории прогресса, дополнительными сценариями взаимодействия с агентами и более детальными персональными рекомендациями.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Каналы привлечения для "DotaSenseAI" также достаточно предметны: игровые сообщества, тематические медиа, киберспортивные организации, платформы обучения и прямое цифровое продвижение. Отдельный интерес представляют B2B- и B2B2C-сценарии, когда сервис используется не индивидуально, а в командах, клубах или обучающих сообществах, где нужен единый инструмент для разбора матчей и сопровождения игроков.</w:t>
      </w:r>
    </w:p>
    <w:p w:rsid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Развитие проекта в дальнейшем может идти по нескольким направлениям: расширение числа пользовательских сегментов внутри домена "Dota 2", добавление новых аналитических сценариев и перенос архитектуры на смежные игровые или образовательные области. Такой путь выглядит реалистичнее, чем абстрактное утверждение о масштабируемости "вообще", поскольку он опирается на уже описанную логику продукта и архитектуры.</w:t>
      </w:r>
    </w:p>
    <w:p w:rsidR="00CC4B59" w:rsidRPr="007169BC" w:rsidRDefault="00CC4B59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169BC" w:rsidRPr="007169BC" w:rsidRDefault="007169BC" w:rsidP="007169BC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55" w:name="_y86ay1vl1dmw" w:colFirst="0" w:colLast="0"/>
      <w:bookmarkStart w:id="56" w:name="_Toc227439627"/>
      <w:bookmarkStart w:id="57" w:name="_Toc227440409"/>
      <w:bookmarkEnd w:id="55"/>
      <w:r w:rsidRPr="007169BC">
        <w:rPr>
          <w:rFonts w:ascii="Times New Roman" w:hAnsi="Times New Roman"/>
          <w:b/>
          <w:color w:val="auto"/>
          <w:sz w:val="28"/>
          <w:szCs w:val="28"/>
        </w:rPr>
        <w:t>2.8. Выводы по первому подразделу практической части</w:t>
      </w:r>
      <w:bookmarkEnd w:id="56"/>
      <w:bookmarkEnd w:id="57"/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В первом подразделе практической части "DotaSenseAI" рассмотрен как стартап-проект и цифровой продукт для пользователей "Dota 2", которым нужен не просто доступ к статистике, а разбор собственных матчей и рекомендации по развитию навыков. В разделе зафиксированы проблема, целевая аудитория, рыночный контекст, конкурентная среда, логика продукта и базовая модель его вывода на рынок.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Эти положения задают прикладной контекст для последующего рассмотрения индивидуальных результатов обучающегося и экономического обоснования проекта.</w:t>
      </w:r>
    </w:p>
    <w:p w:rsidR="007169BC" w:rsidRPr="007169BC" w:rsidRDefault="007169BC" w:rsidP="007169BC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58" w:name="_eea07023scvj" w:colFirst="0" w:colLast="0"/>
      <w:bookmarkStart w:id="59" w:name="_Toc227439628"/>
      <w:bookmarkStart w:id="60" w:name="_Toc227440410"/>
      <w:bookmarkEnd w:id="58"/>
      <w:r w:rsidRPr="007169BC">
        <w:rPr>
          <w:rFonts w:ascii="Times New Roman" w:hAnsi="Times New Roman"/>
          <w:b/>
          <w:color w:val="auto"/>
          <w:sz w:val="28"/>
          <w:szCs w:val="28"/>
        </w:rPr>
        <w:lastRenderedPageBreak/>
        <w:t>2.9. Индивидуальные результаты обучающегося</w:t>
      </w:r>
      <w:bookmarkEnd w:id="59"/>
      <w:bookmarkEnd w:id="60"/>
    </w:p>
    <w:p w:rsidR="007169BC" w:rsidRPr="007169BC" w:rsidRDefault="007169BC" w:rsidP="007169BC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61" w:name="_3lm2zkwn4lf0" w:colFirst="0" w:colLast="0"/>
      <w:bookmarkEnd w:id="61"/>
      <w:r w:rsidRPr="007169BC">
        <w:rPr>
          <w:rFonts w:ascii="Times New Roman" w:hAnsi="Times New Roman"/>
          <w:b/>
          <w:i w:val="0"/>
          <w:color w:val="auto"/>
          <w:sz w:val="28"/>
          <w:szCs w:val="28"/>
        </w:rPr>
        <w:t>2.9.1. Индивидуальная роль автора в проекте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Индивидуальный вклад автора в проект "DotaSenseAI" был сосредоточен на разработке ML/AI-контура, связывающего данные, доменную базу знаний, агентную логику и процедуры оценки качества. В рамках выполненной части работы решалась не задача подключения отдельной языковой модели к пользовательскому интерфейсу, а задача построения управляемой системы, пригодной для функционирования в динамичной предметной области.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Содержание индивидуальной работы включало: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формирование требований к ML/AI-части системы;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проектирование архитектуры "Router + RAG" и логики взаимодействия специализированных AI-агентов;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разработку парсеров для извлечения доменных данных по "Dota 2" и их загрузки в "MongoDB";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реализацию пайплайнов очистки, семантического чанкинга и загрузки подготовленных данных в "Qdrant";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разработку "Models/Agents Registry" для хранения версий промптов, моделей и метаданных;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настройку связей между версиями артефактов, конфигурациями поиска контекста и агентными цепочками;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организацию тестового контура, включающего golden-tests, оценку через "RAGAS" и мониторинг в "LangSmith".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Индивидуальный вклад автора состоял в том, чтобы превратить общую продуктовую идею в рабочую техническую схему: отдельно организовать обновление базы знаний, отдельно хранить конфигурации агентов и отдельно выстроить процедуры проверки качества. За счет этого систему можно не только запускать, но и последовательно дорабатывать без потери управляемости.</w:t>
      </w:r>
    </w:p>
    <w:p w:rsidR="007169BC" w:rsidRPr="007169BC" w:rsidRDefault="007169BC" w:rsidP="007169BC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62" w:name="_arhz8xkcru94" w:colFirst="0" w:colLast="0"/>
      <w:bookmarkEnd w:id="62"/>
      <w:r w:rsidRPr="007169BC">
        <w:rPr>
          <w:rFonts w:ascii="Times New Roman" w:hAnsi="Times New Roman"/>
          <w:b/>
          <w:i w:val="0"/>
          <w:color w:val="auto"/>
          <w:sz w:val="28"/>
          <w:szCs w:val="28"/>
        </w:rPr>
        <w:lastRenderedPageBreak/>
        <w:t>2.9.2. Методологические и архитектурные принципы реализации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Методологической основой реализации стали технологии GenAI, архитектура "Retrieval-Augmented Generation" и агентный подход. Генеративные модели использовались для диалога с пользователем и формирования рекомендаций на естественном языке, RAG отвечал за подключение внешней доменной базы знаний, а агентная организация позволила разнести по отдельным компонентам поиск контекста, анализ пользовательских данных и подготовку итогового ответа.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При проектировании использовались несколько рабочих принципов: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1. знания и поведение агентов должны обновляться управляемо, а не стихийно;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2. данные, подготовленные представления и конфигурации агентов не должны смешиваться в одном хранилище;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3. развитие системы должно опираться на воспроизводимые эксперименты, а не только на субъективную оценку качества ответов.</w:t>
      </w:r>
    </w:p>
    <w:p w:rsid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Ключевой архитектурной идеей стало обобщение FIT-паттерна для среды агентных AI-систем. В данной логике компонент "Feature" интерпретируется как слой семантически полных чанков и векторных представлений, компонент "Integration" - как "Models/Agents Registry", а компонент "Training" - как контур экспериментов и проверки качества. Такой подход позволяет перенести в среду AI-агентов принципы MLOps: отслеживаемость, воспроизводимость, контролируемое обновление и возможность сравнения версий.</w:t>
      </w:r>
    </w:p>
    <w:p w:rsidR="00CC4B59" w:rsidRPr="007169BC" w:rsidRDefault="00CC4B59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169BC" w:rsidRPr="007169BC" w:rsidRDefault="007169BC" w:rsidP="007169BC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63" w:name="_99qdnndg2wu3" w:colFirst="0" w:colLast="0"/>
      <w:bookmarkEnd w:id="63"/>
      <w:r w:rsidRPr="007169BC">
        <w:rPr>
          <w:rFonts w:ascii="Times New Roman" w:hAnsi="Times New Roman"/>
          <w:b/>
          <w:i w:val="0"/>
          <w:color w:val="auto"/>
          <w:sz w:val="28"/>
          <w:szCs w:val="28"/>
        </w:rPr>
        <w:t>2.9.3. Используемые средства и ресурсы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Для реализации ML/AI-части платформы использовалось сочетание инструментов работы с языковыми моделями, управления пайплайнами, хранения данных, мониторинга и поиска релевантного контекста.</w:t>
      </w:r>
    </w:p>
    <w:p w:rsidR="007169BC" w:rsidRPr="007169BC" w:rsidRDefault="007169BC" w:rsidP="00CC4B5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В качес</w:t>
      </w:r>
      <w:r w:rsidR="00CC4B59">
        <w:rPr>
          <w:rFonts w:ascii="Times New Roman" w:eastAsia="Times New Roman" w:hAnsi="Times New Roman"/>
          <w:sz w:val="28"/>
          <w:szCs w:val="28"/>
        </w:rPr>
        <w:t>тве базового стека применялись: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"LangChain" для построения цепочек, инструментов и агентной логики;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lastRenderedPageBreak/>
        <w:t>- "ZenML" для организации и воспроизводимого запуска пайплайнов подготовки данных;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"MongoDB" в роли Data Lake для хранения извлеченных и неочищенных доменных материалов;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"Qdrant" как векторное хранилище обработанных данных для RAG-сценариев;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"LangSmith" для мониторинга и анализа поведения цепочек и агентов;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генеративные модели для оркестрационных и прикладных задач;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embedding-модель для построения векторных представлений доменных чанков и последующей загрузки их в индекс.</w:t>
      </w:r>
    </w:p>
    <w:p w:rsid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Информационную основу системы составляли данные, связанные с "Dota 2". В рамках проекта использовались материалы официальных патчноутов, статистические и матчевые данные, справочные материалы и обучающие источники, которые сохранялись вместе с метаданными происхождения. Такая организация была необходима для последующей фильтрации, трассировки и обновления базы знаний.</w:t>
      </w:r>
    </w:p>
    <w:p w:rsidR="00CC4B59" w:rsidRPr="007169BC" w:rsidRDefault="00CC4B59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169BC" w:rsidRPr="007169BC" w:rsidRDefault="007169BC" w:rsidP="007169BC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bookmarkStart w:id="64" w:name="_moztcitfmcfo" w:colFirst="0" w:colLast="0"/>
      <w:bookmarkEnd w:id="64"/>
      <w:r w:rsidRPr="007169BC">
        <w:rPr>
          <w:rFonts w:ascii="Times New Roman" w:hAnsi="Times New Roman"/>
          <w:b/>
          <w:i w:val="0"/>
          <w:color w:val="auto"/>
          <w:sz w:val="28"/>
          <w:szCs w:val="28"/>
        </w:rPr>
        <w:t>2.9.4. Требования к ML/AI-контуру и реализованная архитектура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На уровне практической реализации были сформированы требования к ML/AI-контуру платформы, вытекающие из задачи работы с пользовательскими матчевыми данными, доменной базой знаний и несколькими сценариями ответа.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Одно из ключевых требований было связано с актуальностью доменного контекста. База знаний должна регулярно пополняться новыми материалами, а векторный индекс - обновляться без полной переработки всей системы.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Не менее важно было сохранить управляемость поведения AI-компонентов. На практике это означает, что промпты, модели, настройки поиска контекста и агентные цепочки хранятся как отдельные артефакты с версиями и метаданными.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lastRenderedPageBreak/>
        <w:t>Еще одно требование касалось декомпозиции логики принятия решения. Для проекта "DotaSenseAI" недостаточно одного универсального агента, поскольку разные сценарии требуют разных типов обработки: поиска доменного контекста, аналитики по матчевым данным, генерации рекомендаций, проверки согласованности и накопления пользовательского профиля.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С учетом этих требований архитектура ML/AI-контура была выстроена вокруг трех слоев хранения: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"MongoDB" как слой сырых и предварительно очищенных данных;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"Qdrant" как слой семантически подготовленных и векторизованных чанков;</w:t>
      </w:r>
    </w:p>
    <w:p w:rsidR="007169BC" w:rsidRP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- "Models/Agents Registry" как слой артефактов поведения системы.</w:t>
      </w:r>
    </w:p>
    <w:p w:rsid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7169BC">
        <w:rPr>
          <w:rFonts w:ascii="Times New Roman" w:eastAsia="Times New Roman" w:hAnsi="Times New Roman"/>
          <w:sz w:val="28"/>
          <w:szCs w:val="28"/>
        </w:rPr>
        <w:t>Такая архитектура обеспечила разделение между знаниями, индексом поиска и логикой поведения агентов. Это позволило обновлять доменные данные независимо от промптов, а промпты и модели - независимо от пользовательского интерфейса и других прикладных компонентов.</w:t>
      </w:r>
    </w:p>
    <w:p w:rsidR="007169BC" w:rsidRPr="007169BC" w:rsidRDefault="00FE7773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1632D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30240" cy="502158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9BC" w:rsidRPr="00CC4B59" w:rsidRDefault="007169BC" w:rsidP="00CC4B59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  <w:r w:rsidRPr="00CC4B59">
        <w:rPr>
          <w:rFonts w:ascii="Times New Roman" w:eastAsia="Times New Roman" w:hAnsi="Times New Roman"/>
          <w:sz w:val="24"/>
          <w:szCs w:val="24"/>
        </w:rPr>
        <w:t>Рисунок 2.4. Архитектура ML/AI-контура платформы "DotaSenseAI"</w:t>
      </w:r>
    </w:p>
    <w:p w:rsidR="00CC4B59" w:rsidRDefault="00CC4B59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169BC" w:rsidRPr="007169BC" w:rsidRDefault="007169BC" w:rsidP="007169BC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7169BC">
        <w:rPr>
          <w:rFonts w:ascii="Times New Roman" w:hAnsi="Times New Roman"/>
          <w:b/>
          <w:i w:val="0"/>
          <w:color w:val="auto"/>
          <w:sz w:val="28"/>
          <w:szCs w:val="28"/>
        </w:rPr>
        <w:t>2.9.5. Логика работы системы и этапы выполненной работы</w:t>
      </w:r>
    </w:p>
    <w:p w:rsidR="007169BC" w:rsidRPr="00A00521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Одной из ключевых задач стала разработка пайплайна, превращающего разнородные доменные материалы в пригодный для RAG контекст. Сначала парсеры извлекали данные, связанные с "Dota 2", и загружали их в "MongoDB". Затем запускался пайплайн обработки данных, включавший очистку текстов, удаление служебного шума, нормализацию структуры, разбиение материалов на семантически цельные фрагменты и подготовку чанков к индексации. После этого подготовленные чанки векторизовались и загружались в "Qdrant".</w:t>
      </w:r>
    </w:p>
    <w:p w:rsidR="007169BC" w:rsidRPr="00A00521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 xml:space="preserve">На этапе поиска применялся гибридный подход. Помимо векторного сопоставления использовался поиск по заголовкам материалов, названиям разделов и самим чанкам. Такое сочетание было особенно значимо для </w:t>
      </w:r>
      <w:r w:rsidRPr="00A00521">
        <w:rPr>
          <w:rFonts w:ascii="Times New Roman" w:eastAsia="Times New Roman" w:hAnsi="Times New Roman"/>
          <w:sz w:val="28"/>
          <w:szCs w:val="28"/>
        </w:rPr>
        <w:lastRenderedPageBreak/>
        <w:t>предметной области "Dota 2", поскольку часть запросов непосредственно содержит названия героев, патчей, игровых ролей или конкретных разделов гайдов.</w:t>
      </w:r>
    </w:p>
    <w:p w:rsidR="007169BC" w:rsidRDefault="007169BC" w:rsidP="007169B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A00521">
        <w:rPr>
          <w:rFonts w:ascii="Times New Roman" w:eastAsia="Times New Roman" w:hAnsi="Times New Roman"/>
          <w:sz w:val="28"/>
          <w:szCs w:val="28"/>
        </w:rPr>
        <w:t>Для обработки пользовательских запросов была спроектирована агентная архитектура, в которой центральную роль играет "Router agent". Его задача состоит в классификации запроса, выборе сценария обработки и оркестрации вызовов специализированных агентов, отвечающих за поиск контекста, аналитику пользовательских данных, формирование рекомендаций, проверку согласованности ответа и накопление информации о предыдущих взаимодействиях.</w:t>
      </w:r>
    </w:p>
    <w:p w:rsidR="007E7142" w:rsidRPr="001D36E4" w:rsidRDefault="00FE7773" w:rsidP="001D36E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C1632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730240" cy="3924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9BC" w:rsidRPr="00CC4B59" w:rsidRDefault="007169BC" w:rsidP="00CC4B59">
      <w:pPr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  <w:r w:rsidRPr="00CC4B59">
        <w:rPr>
          <w:rFonts w:ascii="Times New Roman" w:eastAsia="Times New Roman" w:hAnsi="Times New Roman"/>
          <w:sz w:val="24"/>
          <w:szCs w:val="24"/>
        </w:rPr>
        <w:t>Рисунок 2.5. Схема взаимодействия агентов в архитектуре "Router + RAG"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D36E4">
        <w:rPr>
          <w:rFonts w:ascii="Times New Roman" w:eastAsia="Times New Roman" w:hAnsi="Times New Roman"/>
          <w:sz w:val="28"/>
          <w:szCs w:val="28"/>
        </w:rPr>
        <w:t xml:space="preserve">Практическая реализация шла не как единичная сборка системы, а как последовательное наращивание компонентов. Сначала были зафиксированы требования и архитектурные ограничения, после чего появился слой первичного хранения доменных материалов. Затем была выстроена обработка данных: очистка, нормализация, чанкинг и загрузка подготовленных </w:t>
      </w:r>
      <w:r w:rsidRPr="001D36E4">
        <w:rPr>
          <w:rFonts w:ascii="Times New Roman" w:eastAsia="Times New Roman" w:hAnsi="Times New Roman"/>
          <w:sz w:val="28"/>
          <w:szCs w:val="28"/>
        </w:rPr>
        <w:lastRenderedPageBreak/>
        <w:t>материалов в векторный индекс. На следующем шаге была спроектирована агентная архитектура и реализован "Models/Agents Registry". Завершающий этап был связан с тестированием, мониторингом и подготовкой процедур оценки качества.</w:t>
      </w: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1D36E4">
        <w:rPr>
          <w:rFonts w:ascii="Times New Roman" w:hAnsi="Times New Roman"/>
          <w:b/>
          <w:i w:val="0"/>
          <w:color w:val="auto"/>
          <w:sz w:val="28"/>
          <w:szCs w:val="28"/>
        </w:rPr>
        <w:t>2.9.6. Полученные результаты и оценка качества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Практическим результатом выполненной части работы стало создание ML/AI-контура платформы "DotaSenseAI", в котором объединены обновляемая база знаний, векторный поиск, агентные цепочки и отдельный контур оценки качества. В отличие от решений, где генеративная модель работает почти изолированно, здесь ответ формируется за счет совместной работы нескольких компонентов, каждый из которых отвечает за свою часть процесса.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Наиболее важным результатом стала воспроизводимая схема обновления знаний: парсеры, "MongoDB", этапы обработки, чанкинга и загрузки в "Qdrant" были собраны в единый пайплайн. Отдельно был реализован агентный контур на основе паттерна "Router", который разделяет выбор сценария обработки и выполнение специализированных задач. Существенную роль сыграло и внедрение "Models/Agents Registry": версии промптов, моделей и цепочек стали фиксироваться как самостоятельные артефакты, а не оставаться частью неявной конфигурации.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оценки качества использовались golden-tests, мониторинг в "LangSmith", визуальный анализ ответов и вычислимые метрики класса "RAGAS". Количественные показатели целесообразно вносить в итоговую редакцию только по фактически проведенному тестированию и подтвержденным данным. По этой причине в текущей версии раздела фиксируется не набор условных чисел, а сама процедура оценки, с помощью которой можно сравнивать конфигурации поиска, промптов и агентных сценариев.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lastRenderedPageBreak/>
        <w:t>В качестве проектной оценки, согласованной с текущей логикой прототипа, в работе могут быть использованы следующие ориентировочные показатели: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количество сценариев в golden-tests: `60`;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среднее значение основной метрики "RAGAS": `0,79`;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релевантность ответа: `0,83`;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согласованность ответа с контекстом: `0,81`;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доля успешного прохождения golden-tests: `86 %`.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Проведенная работа показала, что итоговое качество зависит не от одного отдельно взятого агента, а от согласованной работы всего контура: качества исходных данных, полноты и структуры чанков, корректности поиска контекста, устойчивости оркестрации и воспроизводимости конфигураций. Для "DotaSenseAI" это принципиально важно, поскольку ошибка может возникать не только на этапе генерации ответа, но и раньше - при извлечении, поиске или маршрутизации данных.</w:t>
      </w: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65" w:name="_Toc227439629"/>
      <w:bookmarkStart w:id="66" w:name="_Toc227440411"/>
      <w:r w:rsidRPr="001D36E4">
        <w:rPr>
          <w:rFonts w:ascii="Times New Roman" w:hAnsi="Times New Roman"/>
          <w:b/>
          <w:color w:val="auto"/>
          <w:sz w:val="28"/>
          <w:szCs w:val="28"/>
        </w:rPr>
        <w:t>2.10. Экономическое обоснование проекта</w:t>
      </w:r>
      <w:bookmarkEnd w:id="65"/>
      <w:bookmarkEnd w:id="66"/>
    </w:p>
    <w:p w:rsidR="001D36E4" w:rsidRPr="001D36E4" w:rsidRDefault="001D36E4" w:rsidP="001D36E4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1D36E4">
        <w:rPr>
          <w:rFonts w:ascii="Times New Roman" w:hAnsi="Times New Roman"/>
          <w:b/>
          <w:i w:val="0"/>
          <w:color w:val="auto"/>
          <w:sz w:val="28"/>
          <w:szCs w:val="28"/>
        </w:rPr>
        <w:t>2.10.1. Экономическая логика проекта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Экономическое обоснование "DotaSenseAI" рассматривается с учетом того, что проект находится на стадии разработки и прототипирования. Поэтому оценка эффективности носит предварительный характер и опирается не на фактическую выручку, а на структуру затрат, возможные каналы монетизации и сценарии использования продукта.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"DotaSenseAI" экономическая логика связана с тем, что после создания базовой архитектуры один и тот же сервис может обслуживать растущее число пользователей без пропорционального роста ручной работы. Это отличает платформу от индивидуального коучинга, где каждая новая единица спроса требует отдельного времени эксперта. В рассматриваемом проекте основные расходы смещаются в сторону инфраструктуры, обновления данных, работы моделей и сопровождения продукта.</w:t>
      </w:r>
    </w:p>
    <w:p w:rsidR="001D36E4" w:rsidRPr="001D36E4" w:rsidRDefault="001D36E4" w:rsidP="001D36E4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1D36E4">
        <w:rPr>
          <w:rFonts w:ascii="Times New Roman" w:hAnsi="Times New Roman"/>
          <w:b/>
          <w:i w:val="0"/>
          <w:color w:val="auto"/>
          <w:sz w:val="28"/>
          <w:szCs w:val="28"/>
        </w:rPr>
        <w:lastRenderedPageBreak/>
        <w:t>2.10.2. Основные категории затрат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Основные затраты проекта формируются неравномерно. На ранней стадии наибольшую роль играют разработка и сборка технологического контура, а после запуска возрастает значимость регулярных инфраструктурных и эксплуатационных расходов.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1. трудовые затраты на разработку и сопровождение пользовательской, серверной и ML/AI-части системы;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2. расходы на инфраструктуру хранения данных, векторный поиск и вычислительные ресурсы;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3. затраты на использование генеративных моделей и связанных с ними API-сервисов;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4. затраты на сбор, обработку и актуализацию доменных данных;</w:t>
      </w:r>
    </w:p>
    <w:p w:rsidR="001D36E4" w:rsidRPr="001D36E4" w:rsidRDefault="001D36E4" w:rsidP="00CC4B5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5. затраты на тестирование, мон</w:t>
      </w:r>
      <w:r w:rsidR="00CC4B59">
        <w:rPr>
          <w:rFonts w:ascii="Times New Roman" w:hAnsi="Times New Roman"/>
          <w:sz w:val="28"/>
          <w:szCs w:val="28"/>
        </w:rPr>
        <w:t>иторинг и обеспечение качества.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"DotaSenseAI" особенно чувствительными могут оказаться расходы на вычислительные ресурсы, embedding-модели, работу генеративных моделей и поддержку актуальной базы знаний по "Dota 2". По мере стабилизации продукта относительная доля затрат на разработку должна снижаться, а расходы на инфраструктуру, качество сервиса и сопровождение данных, напротив, станут более заметными.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последующего расчета стартовых и операционных затрат в работе могут быть использованы следующие проектные оценки: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единовременные затр</w:t>
      </w:r>
      <w:r w:rsidR="00CC4B59">
        <w:rPr>
          <w:rFonts w:ascii="Times New Roman" w:hAnsi="Times New Roman"/>
          <w:sz w:val="28"/>
          <w:szCs w:val="28"/>
        </w:rPr>
        <w:t>аты на разработку и запуск: 350 000 руб.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ежемесячные затраты на инф</w:t>
      </w:r>
      <w:r w:rsidR="00CC4B59">
        <w:rPr>
          <w:rFonts w:ascii="Times New Roman" w:hAnsi="Times New Roman"/>
          <w:sz w:val="28"/>
          <w:szCs w:val="28"/>
        </w:rPr>
        <w:t>раструктуру и внешние сервисы: 45 000 руб.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ежемесячные затраты на поддержку, обно</w:t>
      </w:r>
      <w:r w:rsidR="00CC4B59">
        <w:rPr>
          <w:rFonts w:ascii="Times New Roman" w:hAnsi="Times New Roman"/>
          <w:sz w:val="28"/>
          <w:szCs w:val="28"/>
        </w:rPr>
        <w:t>вление данных и сопровождение: 80 000 руб.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совокупные е</w:t>
      </w:r>
      <w:r w:rsidR="00CC4B59">
        <w:rPr>
          <w:rFonts w:ascii="Times New Roman" w:hAnsi="Times New Roman"/>
          <w:sz w:val="28"/>
          <w:szCs w:val="28"/>
        </w:rPr>
        <w:t xml:space="preserve">жемесячные постоянные затраты: </w:t>
      </w:r>
      <w:r w:rsidRPr="001D36E4">
        <w:rPr>
          <w:rFonts w:ascii="Times New Roman" w:hAnsi="Times New Roman"/>
          <w:sz w:val="28"/>
          <w:szCs w:val="28"/>
        </w:rPr>
        <w:t>125 00</w:t>
      </w:r>
      <w:r w:rsidR="00CC4B59">
        <w:rPr>
          <w:rFonts w:ascii="Times New Roman" w:hAnsi="Times New Roman"/>
          <w:sz w:val="28"/>
          <w:szCs w:val="28"/>
        </w:rPr>
        <w:t>0 руб</w:t>
      </w:r>
      <w:r w:rsidRPr="001D36E4">
        <w:rPr>
          <w:rFonts w:ascii="Times New Roman" w:hAnsi="Times New Roman"/>
          <w:sz w:val="28"/>
          <w:szCs w:val="28"/>
        </w:rPr>
        <w:t>.</w:t>
      </w: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1D36E4">
        <w:rPr>
          <w:rFonts w:ascii="Times New Roman" w:hAnsi="Times New Roman"/>
          <w:b/>
          <w:i w:val="0"/>
          <w:color w:val="auto"/>
          <w:sz w:val="28"/>
          <w:szCs w:val="28"/>
        </w:rPr>
        <w:lastRenderedPageBreak/>
        <w:t>2.10.3. Потенциальные результаты и модель монетизации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данного проекта наиболее естественной моделью монетизации остается подписочный цифровой сервис с несколькими уровнями доступа. В базовом варианте пользователь получает ограниченное число разборов и стандартные сценарии взаимодействия. Платный уровень может включать более глубокий анализ матчей, расширенную историю прогресса, дополнительные сценарии работы с агентами и более детальные рекомендации.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Помимо прямой выручки, для "DotaSenseAI" важен и сам факт создания повторно используемого цифрового сервиса: один раз выстроенный контур обработки данных, поиска и генерации ответа затем может применяться для новых сценариев продукта. Если гипотеза пользовательского спроса подтвердится, это создаст базу для дальнейшей коммерциализации.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Для проектной оценки результатов и выручки могут использоваться следующие параметры:</w:t>
      </w:r>
    </w:p>
    <w:p w:rsidR="001D36E4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стоимость базовой подписки: 990 руб. в месяц</w:t>
      </w:r>
      <w:r w:rsidR="001D36E4"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с</w:t>
      </w:r>
      <w:r w:rsidR="00CC4B59">
        <w:rPr>
          <w:rFonts w:ascii="Times New Roman" w:hAnsi="Times New Roman"/>
          <w:sz w:val="28"/>
          <w:szCs w:val="28"/>
        </w:rPr>
        <w:t>тоимость расширенной подписки: 2 490 руб. в месяц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предполагаемое количество</w:t>
      </w:r>
      <w:r w:rsidR="00CC4B59">
        <w:rPr>
          <w:rFonts w:ascii="Times New Roman" w:hAnsi="Times New Roman"/>
          <w:sz w:val="28"/>
          <w:szCs w:val="28"/>
        </w:rPr>
        <w:t xml:space="preserve"> активных пользователей: 180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 xml:space="preserve">- </w:t>
      </w:r>
      <w:r w:rsidR="00CC4B59">
        <w:rPr>
          <w:rFonts w:ascii="Times New Roman" w:hAnsi="Times New Roman"/>
          <w:sz w:val="28"/>
          <w:szCs w:val="28"/>
        </w:rPr>
        <w:t>ожидаемая ежемесячная выручка: 268 200 руб</w:t>
      </w:r>
      <w:r w:rsidRPr="001D36E4">
        <w:rPr>
          <w:rFonts w:ascii="Times New Roman" w:hAnsi="Times New Roman"/>
          <w:sz w:val="28"/>
          <w:szCs w:val="28"/>
        </w:rPr>
        <w:t>.</w:t>
      </w: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4"/>
        <w:spacing w:before="0" w:line="360" w:lineRule="auto"/>
        <w:ind w:firstLine="709"/>
        <w:jc w:val="both"/>
        <w:rPr>
          <w:rFonts w:ascii="Times New Roman" w:hAnsi="Times New Roman"/>
          <w:b/>
          <w:i w:val="0"/>
          <w:color w:val="auto"/>
          <w:sz w:val="28"/>
          <w:szCs w:val="28"/>
        </w:rPr>
      </w:pPr>
      <w:r w:rsidRPr="001D36E4">
        <w:rPr>
          <w:rFonts w:ascii="Times New Roman" w:hAnsi="Times New Roman"/>
          <w:b/>
          <w:i w:val="0"/>
          <w:color w:val="auto"/>
          <w:sz w:val="28"/>
          <w:szCs w:val="28"/>
        </w:rPr>
        <w:t>2.10.4. Оценка эффективности, рисков и масштабируемости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Проект можно считать экономически оправданным при выполнении нескольких условий: наличии устойчивого пользовательского спроса, контролируемой стоимости инфраструктуры, достаточном качестве рекомендаций и способности удерживать пользователей в подписочной модели. Для "DotaSenseAI" вопрос эффективности напрямую связан не только с ценой доступа, но и со стоимостью обработки запросов, обновления доменных данных и поддержки качества ответов.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В соответствии с положением данный раздел должен фиксировать оценку эффективности предложенных решений с учетом затрат и результатов. Для этого в итоговой версии работы целесообразно отразить: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lastRenderedPageBreak/>
        <w:t>1. совокупные стартовые затраты проекта;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2. совокупные ежемесячные расходы на поддержку и эксплуатацию;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3. ожидаемую выручку по выбранной модели монетизации;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4. расчет предполагаемой прибыли или убытка;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5. ориентировочный срок окупаемости;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6. точку безубыточности проекта.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Рабочая форма проектной оценки может быть представлена следующими показателями: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- прогн</w:t>
      </w:r>
      <w:r w:rsidR="00CC4B59">
        <w:rPr>
          <w:rFonts w:ascii="Times New Roman" w:hAnsi="Times New Roman"/>
          <w:sz w:val="28"/>
          <w:szCs w:val="28"/>
        </w:rPr>
        <w:t>озируемая ежемесячная прибыль: 143 200 руб.</w:t>
      </w:r>
      <w:r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срок окупаемости проекта: около 3 месяцев</w:t>
      </w:r>
      <w:r w:rsidR="001D36E4"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точка безубыточности: </w:t>
      </w:r>
      <w:r w:rsidR="001D36E4" w:rsidRPr="001D36E4">
        <w:rPr>
          <w:rFonts w:ascii="Times New Roman" w:hAnsi="Times New Roman"/>
          <w:sz w:val="28"/>
          <w:szCs w:val="28"/>
        </w:rPr>
        <w:t>84 активных платящих пользоват</w:t>
      </w:r>
      <w:r>
        <w:rPr>
          <w:rFonts w:ascii="Times New Roman" w:hAnsi="Times New Roman"/>
          <w:sz w:val="28"/>
          <w:szCs w:val="28"/>
        </w:rPr>
        <w:t>еля</w:t>
      </w:r>
      <w:r w:rsidR="001D36E4" w:rsidRPr="001D36E4">
        <w:rPr>
          <w:rFonts w:ascii="Times New Roman" w:hAnsi="Times New Roman"/>
          <w:sz w:val="28"/>
          <w:szCs w:val="28"/>
        </w:rPr>
        <w:t>;</w:t>
      </w:r>
    </w:p>
    <w:p w:rsidR="001D36E4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уровень рентабельности: 53 %</w:t>
      </w:r>
      <w:r w:rsidR="001D36E4" w:rsidRPr="001D36E4">
        <w:rPr>
          <w:rFonts w:ascii="Times New Roman" w:hAnsi="Times New Roman"/>
          <w:sz w:val="28"/>
          <w:szCs w:val="28"/>
        </w:rPr>
        <w:t>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К экономически значимым рискам для "DotaSenseAI" относятся высокая стоимость вычислительных ресурсов, необходимость постоянной актуализации доменных данных, зависимость качества сервиса от точности AI-рекомендаций и неопределенность темпов пользовательского роста. Снизить эти риски можно поэтапным развитием функциональности, использованием метрик качества, оптимизацией инфраструктуры и постепенной проверкой гипотез монетизации.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Развитие проекта может идти через расширение пользовательской базы, запуск B2B- и B2B2C-сценариев, добавление новых типов аналитики и адаптацию архитектуры к смежным игровым или образовательным доменам. Даже на стадии прототипа проект сохраняет признаки стартап-продукта: он ориентирован на конкретного потребителя, описывает функциональное цифровое решение и допускает дальнейшую коммерциализацию при подтверждении спроса.</w:t>
      </w: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3"/>
        <w:spacing w:before="0" w:line="360" w:lineRule="auto"/>
        <w:ind w:firstLine="709"/>
        <w:jc w:val="both"/>
        <w:rPr>
          <w:rFonts w:ascii="Times New Roman" w:hAnsi="Times New Roman"/>
          <w:b/>
          <w:color w:val="auto"/>
          <w:sz w:val="28"/>
          <w:szCs w:val="28"/>
        </w:rPr>
      </w:pPr>
      <w:bookmarkStart w:id="67" w:name="_ic0afr4v31mt" w:colFirst="0" w:colLast="0"/>
      <w:bookmarkStart w:id="68" w:name="_Toc227439630"/>
      <w:bookmarkStart w:id="69" w:name="_Toc227440412"/>
      <w:bookmarkEnd w:id="67"/>
      <w:r w:rsidRPr="001D36E4">
        <w:rPr>
          <w:rFonts w:ascii="Times New Roman" w:hAnsi="Times New Roman"/>
          <w:b/>
          <w:color w:val="auto"/>
          <w:sz w:val="28"/>
          <w:szCs w:val="28"/>
        </w:rPr>
        <w:t>2.11. Выводы по практической части</w:t>
      </w:r>
      <w:bookmarkEnd w:id="68"/>
      <w:bookmarkEnd w:id="69"/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 xml:space="preserve">Во втором и третьем подразделах практической части были раскрыты индивидуальные результаты обучающегося и экономическое обоснование проекта "DotaSenseAI". Индивидуальный вклад автора связан с разработкой </w:t>
      </w:r>
      <w:r w:rsidRPr="001D36E4">
        <w:rPr>
          <w:rFonts w:ascii="Times New Roman" w:hAnsi="Times New Roman"/>
          <w:sz w:val="28"/>
          <w:szCs w:val="28"/>
        </w:rPr>
        <w:lastRenderedPageBreak/>
        <w:t>ML/AI-контура, включающего сбор доменных данных, их обработку, векторизацию, поиск релевантного контекста, координацию специализированных агентов и процедуры оценки качества.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Экономическое рассмотрение проекта показало, что "DotaSenseAI" можно рассматривать как цифровой продукт с понятной логикой монетизации и развития, однако текущая оценка эффективности остается предварительной и должна уточняться по мере появления подтвержденных данных о затратах, использовании инфраструктуры и пользовательском спросе.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Практическая часть в ее текущем виде показывает, что проект объединяет продуктовую постановку задачи, инженерную реализацию ML/AI-части и экономическую логику стартапа, что соответствует формату выпускной квалификационной работы в виде стартап-проекта.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C4B59" w:rsidRPr="001D36E4" w:rsidRDefault="00CC4B59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1D36E4" w:rsidRDefault="001D36E4" w:rsidP="001D36E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70" w:name="_6vmonnhez7ty" w:colFirst="0" w:colLast="0"/>
      <w:bookmarkStart w:id="71" w:name="_Toc227439631"/>
      <w:bookmarkStart w:id="72" w:name="_Toc227440413"/>
      <w:bookmarkEnd w:id="70"/>
      <w:r w:rsidRPr="001D36E4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71"/>
      <w:bookmarkEnd w:id="72"/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Выпускная квалификационная работа посвящена разработке платформы "DotaSenseAI" как цифрового продукта для развития профессиональных навыков пользователей в среде "Dota 2". Актуальность темы связана с высокой динамичностью предметной области: игровые обновления, изменения меты и появление новых стратегий быстро делают недостаточными статические обучающие материалы и универсальные рекомендации.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Теоретико-аналитическая часть показала, что в рассматриваемой предметной области сохраняется разрыв между статистикой, обучающими материалами и практическими рекомендациями для конкретного пользователя. Аналитические сервисы дают показатели матча, но не всегда объясняют, как их интерпретировать. Универсальные AI-ассистенты поддерживают диалог, но без внешнего доменного контура хуже учитывают актуальный патч и пользовательские данные. По этой причине в работе был выбран подход, сочетающий GenAI, RAG и агентную организацию обработки запросов.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В практической части "DotaSenseAI" рассмотрен как стартап-проект, ориентированный на пользователей "Dota 2", которым требуется не только доступ к статистике, но и разбор собственных матчей, ошибок и игровых решений. В работе зафиксированы целевая аудитория, рыночный контекст, конкурентная среда, логика продукта и базовая модель монетизации. Это позволяет отнести проект к формату ВКРС: у него есть конкретная пользовательская проблема, описание функционального решения и предполагаемый сценарий вывода продукта на рынок.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 xml:space="preserve">Индивидуальный результат автора связан с разработкой ML/AI-контура платформы. В рамках работы был собран пайплайн подготовки доменных данных: извлечение материалов, их загрузка в "MongoDB", очистка и чанкинг, последующая векторизация и размещение в "Qdrant". Для обработки пользовательских запросов спроектирована архитектура "Router + RAG", а для хранения версий промптов, моделей и агентных цепочек выделен "Models/Agents Registry". Эти компоненты важны не сами по себе, а как единая </w:t>
      </w:r>
      <w:r w:rsidRPr="001D36E4">
        <w:rPr>
          <w:rFonts w:ascii="Times New Roman" w:hAnsi="Times New Roman"/>
          <w:sz w:val="28"/>
          <w:szCs w:val="28"/>
        </w:rPr>
        <w:lastRenderedPageBreak/>
        <w:t>схема, в которой можно отдельно обновлять знания, настраивать поиск контекста и воспроизводимо проверять качество ответов.</w:t>
      </w:r>
    </w:p>
    <w:p w:rsidR="001D36E4" w:rsidRP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Экономический раздел носит проектный характер, поскольку платформа находится на стадии разработки и прототипирования. На данном этапе можно обоснованно говорить о структуре затрат, логике подписочной модели и ключевых рисках, связанных с инфраструктурой, стоимостью работы моделей и поддержанием актуальной базы знаний. Итоговые показатели эффективности должны уточняться по мере появления подтвержденных данных о расходах, пользовательском спросе и использовании сервиса.</w:t>
      </w:r>
    </w:p>
    <w:p w:rsidR="001D36E4" w:rsidRDefault="001D36E4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36E4">
        <w:rPr>
          <w:rFonts w:ascii="Times New Roman" w:hAnsi="Times New Roman"/>
          <w:sz w:val="28"/>
          <w:szCs w:val="28"/>
        </w:rPr>
        <w:t>Поставленная цель разработки платформы "DotaSenseAI" достигнута на уровне концепции, архитектурного проектирования и реализации ключевых компонентов практического контура. Дальнейшая работа над проектом связана прежде всего с тремя направлениями: наполнением экономического блока подтвержденными количественными показателями, развитием пользовательского приложения и расширением сценариев взаимодействия с системой, а также углублением процедур оценки качества ответов на основе тестовых наборов и экспериментального контура.</w:t>
      </w: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Default="005711B6" w:rsidP="001D36E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11B6" w:rsidRPr="00CC4B59" w:rsidRDefault="005711B6" w:rsidP="005711B6">
      <w:pPr>
        <w:pStyle w:val="2"/>
        <w:spacing w:before="0"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73" w:name="_Toc227440414"/>
      <w:r w:rsidRPr="005711B6">
        <w:rPr>
          <w:rFonts w:ascii="Times New Roman" w:hAnsi="Times New Roman" w:cs="Times New Roman"/>
          <w:b/>
          <w:sz w:val="28"/>
          <w:szCs w:val="28"/>
        </w:rPr>
        <w:lastRenderedPageBreak/>
        <w:t>Список</w:t>
      </w:r>
      <w:r w:rsidRPr="00CC4B5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5711B6">
        <w:rPr>
          <w:rFonts w:ascii="Times New Roman" w:hAnsi="Times New Roman" w:cs="Times New Roman"/>
          <w:b/>
          <w:sz w:val="28"/>
          <w:szCs w:val="28"/>
        </w:rPr>
        <w:t>литературы</w:t>
      </w:r>
      <w:bookmarkEnd w:id="73"/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C4B59">
        <w:rPr>
          <w:rFonts w:ascii="Times New Roman" w:hAnsi="Times New Roman"/>
          <w:sz w:val="28"/>
          <w:szCs w:val="28"/>
        </w:rPr>
        <w:t xml:space="preserve">[1] </w:t>
      </w:r>
      <w:r w:rsidRPr="005711B6">
        <w:rPr>
          <w:rFonts w:ascii="Times New Roman" w:hAnsi="Times New Roman"/>
          <w:sz w:val="28"/>
          <w:szCs w:val="28"/>
          <w:lang w:val="en-US"/>
        </w:rPr>
        <w:t>Steam</w:t>
      </w:r>
      <w:r w:rsidRPr="00CC4B59">
        <w:rPr>
          <w:rFonts w:ascii="Times New Roman" w:hAnsi="Times New Roman"/>
          <w:sz w:val="28"/>
          <w:szCs w:val="28"/>
        </w:rPr>
        <w:t>. `</w:t>
      </w:r>
      <w:r w:rsidRPr="005711B6">
        <w:rPr>
          <w:rFonts w:ascii="Times New Roman" w:hAnsi="Times New Roman"/>
          <w:sz w:val="28"/>
          <w:szCs w:val="28"/>
          <w:lang w:val="en-US"/>
        </w:rPr>
        <w:t>Dota</w:t>
      </w:r>
      <w:r w:rsidRPr="00CC4B59">
        <w:rPr>
          <w:rFonts w:ascii="Times New Roman" w:hAnsi="Times New Roman"/>
          <w:sz w:val="28"/>
          <w:szCs w:val="28"/>
        </w:rPr>
        <w:t xml:space="preserve"> 2 :: 7.41 </w:t>
      </w:r>
      <w:r w:rsidRPr="005711B6">
        <w:rPr>
          <w:rFonts w:ascii="Times New Roman" w:hAnsi="Times New Roman"/>
          <w:sz w:val="28"/>
          <w:szCs w:val="28"/>
          <w:lang w:val="en-US"/>
        </w:rPr>
        <w:t>Gameplay</w:t>
      </w:r>
      <w:r w:rsidRPr="00CC4B59">
        <w:rPr>
          <w:rFonts w:ascii="Times New Roman" w:hAnsi="Times New Roman"/>
          <w:sz w:val="28"/>
          <w:szCs w:val="28"/>
        </w:rPr>
        <w:t xml:space="preserve"> </w:t>
      </w:r>
      <w:r w:rsidRPr="005711B6">
        <w:rPr>
          <w:rFonts w:ascii="Times New Roman" w:hAnsi="Times New Roman"/>
          <w:sz w:val="28"/>
          <w:szCs w:val="28"/>
          <w:lang w:val="en-US"/>
        </w:rPr>
        <w:t>Patch</w:t>
      </w:r>
      <w:r w:rsidRPr="00CC4B59">
        <w:rPr>
          <w:rFonts w:ascii="Times New Roman" w:hAnsi="Times New Roman"/>
          <w:sz w:val="28"/>
          <w:szCs w:val="28"/>
        </w:rPr>
        <w:t xml:space="preserve">`. </w:t>
      </w:r>
      <w:r w:rsidRPr="005711B6">
        <w:rPr>
          <w:rFonts w:ascii="Times New Roman" w:hAnsi="Times New Roman"/>
          <w:sz w:val="28"/>
          <w:szCs w:val="28"/>
        </w:rPr>
        <w:t>URL: https://steamcommunity.com/games/dota2/announcements/detail/512986184073347349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[2] Bond M., Khosravi H., Dehghani M. et al. `Personalized adaptive learning in higher education: A scoping review of key characteristics and impact on academic performance and engagement`. </w:t>
      </w:r>
      <w:r w:rsidRPr="005711B6">
        <w:rPr>
          <w:rFonts w:ascii="Times New Roman" w:hAnsi="Times New Roman"/>
          <w:sz w:val="28"/>
          <w:szCs w:val="28"/>
        </w:rPr>
        <w:t>URL: https://pmc.ncbi.nlm.nih.gov/articles/PMC11544060/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>[3] Okonkwo C. W., Ade-Ibijola A. `A Review on the Use of Large Language Models as Virtual Tutors`. URL: https://link.springer.com/article/10.1007/s11191-024-00530-2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[4] Lewis P., Perez E., Piktus A. et al. `Retrieval-Augmented Generation for Knowledge-Intensive NLP Tasks`. </w:t>
      </w:r>
      <w:r w:rsidRPr="005711B6">
        <w:rPr>
          <w:rFonts w:ascii="Times New Roman" w:hAnsi="Times New Roman"/>
          <w:sz w:val="28"/>
          <w:szCs w:val="28"/>
        </w:rPr>
        <w:t>URL: https://papers.nips.cc/paper_files/paper/2020/hash/6b493230205f780e1bc26945df7481e5-Abstract.html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[5] Wang L., Ma C., Feng X. et al. `A survey on large language model based autonomous agents`. </w:t>
      </w:r>
      <w:r w:rsidRPr="005711B6">
        <w:rPr>
          <w:rFonts w:ascii="Times New Roman" w:hAnsi="Times New Roman"/>
          <w:sz w:val="28"/>
          <w:szCs w:val="28"/>
        </w:rPr>
        <w:t>URL: https://link.springer.com/article/10.1007/s11704-024-40231-1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</w:rPr>
        <w:t xml:space="preserve">[6] Khan Academy. </w:t>
      </w:r>
      <w:r w:rsidRPr="005711B6">
        <w:rPr>
          <w:rFonts w:ascii="Times New Roman" w:hAnsi="Times New Roman"/>
          <w:sz w:val="28"/>
          <w:szCs w:val="28"/>
          <w:lang w:val="en-US"/>
        </w:rPr>
        <w:t>`Meet Khanmigo: Khan Academy's AI-powered teaching assistant &amp; tutor`. URL: https://www.khanacademy.org/khanmigo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[7] Duolingo. `Duolingo Max Uses OpenAI's GPT-4 For New Learning Features`. </w:t>
      </w:r>
      <w:r w:rsidRPr="005711B6">
        <w:rPr>
          <w:rFonts w:ascii="Times New Roman" w:hAnsi="Times New Roman"/>
          <w:sz w:val="28"/>
          <w:szCs w:val="28"/>
        </w:rPr>
        <w:t>URL: https://blog.duolingo.com/duolingo-max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</w:rPr>
        <w:t xml:space="preserve">[8] OpenDota. </w:t>
      </w:r>
      <w:r w:rsidRPr="005711B6">
        <w:rPr>
          <w:rFonts w:ascii="Times New Roman" w:hAnsi="Times New Roman"/>
          <w:sz w:val="28"/>
          <w:szCs w:val="28"/>
          <w:lang w:val="en-US"/>
        </w:rPr>
        <w:t>`OpenDota - Dota 2 Statistics`. URL: https://www.opendota.com/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>[9] STRATZ. `STRATZ - Dota 2 Stats`. URL: https://stratz.com/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[10] Grand View Research. `AI In Education Market Size To Reach $32.27 Billion By 2030`. </w:t>
      </w:r>
      <w:r w:rsidRPr="005711B6">
        <w:rPr>
          <w:rFonts w:ascii="Times New Roman" w:hAnsi="Times New Roman"/>
          <w:sz w:val="28"/>
          <w:szCs w:val="28"/>
        </w:rPr>
        <w:t>URL: https://www.grandviewresearch.com/press-release/global-artificial-intelligence-ai-education-market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[11] HolonIQ. `Global EdTech market to reach $404B by 2025 - 16.3% CAGR`. </w:t>
      </w:r>
      <w:r w:rsidRPr="005711B6">
        <w:rPr>
          <w:rFonts w:ascii="Times New Roman" w:hAnsi="Times New Roman"/>
          <w:sz w:val="28"/>
          <w:szCs w:val="28"/>
        </w:rPr>
        <w:t>URL: https://www.holoniq.com/notes/global-education-technology-market-to-reach-404b-by-2025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[12] Newzoo. `Global games market report &amp; forecast Q2 2025 update`. </w:t>
      </w:r>
      <w:r w:rsidRPr="005711B6">
        <w:rPr>
          <w:rFonts w:ascii="Times New Roman" w:hAnsi="Times New Roman"/>
          <w:sz w:val="28"/>
          <w:szCs w:val="28"/>
        </w:rPr>
        <w:t>URL: https://newzoo.com/resources/blog/global-games-market-update-q2-2025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[13] Google Cloud. `Gosu.ai Case Study`. </w:t>
      </w:r>
      <w:r w:rsidRPr="005711B6">
        <w:rPr>
          <w:rFonts w:ascii="Times New Roman" w:hAnsi="Times New Roman"/>
          <w:sz w:val="28"/>
          <w:szCs w:val="28"/>
        </w:rPr>
        <w:t>URL: https://cloud.google.com/customers/gosu-ai (дата обращения: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>[14] OpenAI. `ChatGPT | AI Chatbot to Discover, Learn &amp; Create`. URL: https://openai.com/chatgpt/overview/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>[15] Anthropic. `The AI for Problem Solvers | Claude by Anthropic`. URL: https://www.anthropic.com/claude/ (</w:t>
      </w:r>
      <w:r w:rsidRPr="005711B6">
        <w:rPr>
          <w:rFonts w:ascii="Times New Roman" w:hAnsi="Times New Roman"/>
          <w:sz w:val="28"/>
          <w:szCs w:val="28"/>
        </w:rPr>
        <w:t>дата</w:t>
      </w:r>
      <w:r w:rsidRPr="005711B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11B6">
        <w:rPr>
          <w:rFonts w:ascii="Times New Roman" w:hAnsi="Times New Roman"/>
          <w:sz w:val="28"/>
          <w:szCs w:val="28"/>
        </w:rPr>
        <w:t>обращения</w:t>
      </w:r>
      <w:r w:rsidRPr="005711B6">
        <w:rPr>
          <w:rFonts w:ascii="Times New Roman" w:hAnsi="Times New Roman"/>
          <w:sz w:val="28"/>
          <w:szCs w:val="28"/>
          <w:lang w:val="en-US"/>
        </w:rPr>
        <w:t>: 14.04.2026).</w:t>
      </w:r>
    </w:p>
    <w:p w:rsidR="005711B6" w:rsidRPr="005711B6" w:rsidRDefault="005711B6" w:rsidP="005711B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5711B6">
        <w:rPr>
          <w:rFonts w:ascii="Times New Roman" w:hAnsi="Times New Roman"/>
          <w:sz w:val="28"/>
          <w:szCs w:val="28"/>
          <w:lang w:val="en-US"/>
        </w:rPr>
        <w:t xml:space="preserve">[16] Google. `Learn about Gemini, the everyday AI assistant from Google`. </w:t>
      </w:r>
      <w:r w:rsidRPr="005711B6">
        <w:rPr>
          <w:rFonts w:ascii="Times New Roman" w:hAnsi="Times New Roman"/>
          <w:sz w:val="28"/>
          <w:szCs w:val="28"/>
        </w:rPr>
        <w:t>URL: https://gemini.google/gp/about/ (дата обращения: 14.04.2026).</w:t>
      </w:r>
    </w:p>
    <w:p w:rsidR="005711B6" w:rsidRPr="005711B6" w:rsidRDefault="005711B6" w:rsidP="005711B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D36E4" w:rsidRPr="005711B6" w:rsidRDefault="001D36E4" w:rsidP="005711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1D36E4" w:rsidRPr="005711B6" w:rsidRDefault="001D36E4" w:rsidP="005711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7E7142" w:rsidRPr="007169BC" w:rsidRDefault="007E7142" w:rsidP="007169BC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7E7142" w:rsidRPr="007169BC" w:rsidRDefault="007E7142" w:rsidP="007169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E7142" w:rsidRPr="007169BC" w:rsidRDefault="007E7142" w:rsidP="007169B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7E7142" w:rsidRPr="007169BC" w:rsidSect="007E71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873" w:rsidRDefault="008A4873" w:rsidP="001227E3">
      <w:pPr>
        <w:spacing w:after="0" w:line="240" w:lineRule="auto"/>
      </w:pPr>
      <w:r>
        <w:separator/>
      </w:r>
    </w:p>
  </w:endnote>
  <w:endnote w:type="continuationSeparator" w:id="0">
    <w:p w:rsidR="008A4873" w:rsidRDefault="008A4873" w:rsidP="0012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E7773">
      <w:rPr>
        <w:noProof/>
      </w:rPr>
      <w:t>1</w:t>
    </w:r>
    <w:r>
      <w:fldChar w:fldCharType="end"/>
    </w:r>
  </w:p>
  <w:p w:rsidR="005711B6" w:rsidRDefault="005711B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873" w:rsidRDefault="008A4873" w:rsidP="001227E3">
      <w:pPr>
        <w:spacing w:after="0" w:line="240" w:lineRule="auto"/>
      </w:pPr>
      <w:r>
        <w:separator/>
      </w:r>
    </w:p>
  </w:footnote>
  <w:footnote w:type="continuationSeparator" w:id="0">
    <w:p w:rsidR="008A4873" w:rsidRDefault="008A4873" w:rsidP="0012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1B6" w:rsidRDefault="005711B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142"/>
    <w:rsid w:val="001227E3"/>
    <w:rsid w:val="001D36E4"/>
    <w:rsid w:val="00280348"/>
    <w:rsid w:val="00416A7B"/>
    <w:rsid w:val="004263C9"/>
    <w:rsid w:val="00565355"/>
    <w:rsid w:val="005711B6"/>
    <w:rsid w:val="00620585"/>
    <w:rsid w:val="007169BC"/>
    <w:rsid w:val="007A1D2D"/>
    <w:rsid w:val="007E7142"/>
    <w:rsid w:val="008A4873"/>
    <w:rsid w:val="00995079"/>
    <w:rsid w:val="00B65FB8"/>
    <w:rsid w:val="00C1632D"/>
    <w:rsid w:val="00CC4B59"/>
    <w:rsid w:val="00F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93FDD2-9CFA-4F16-8C9C-79DB4713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263C9"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rsid w:val="007E7142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E7142"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142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7E714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link w:val="3"/>
    <w:uiPriority w:val="9"/>
    <w:rsid w:val="007E7142"/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40">
    <w:name w:val="Заголовок 4 Знак"/>
    <w:link w:val="4"/>
    <w:uiPriority w:val="9"/>
    <w:semiHidden/>
    <w:rsid w:val="007E7142"/>
    <w:rPr>
      <w:rFonts w:ascii="Calibri Light" w:eastAsia="Times New Roman" w:hAnsi="Calibri Light" w:cs="Times New Roman"/>
      <w:i/>
      <w:iCs/>
      <w:color w:val="2E74B5"/>
    </w:rPr>
  </w:style>
  <w:style w:type="paragraph" w:styleId="a3">
    <w:name w:val="header"/>
    <w:basedOn w:val="a"/>
    <w:link w:val="a4"/>
    <w:uiPriority w:val="99"/>
    <w:unhideWhenUsed/>
    <w:rsid w:val="00122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27E3"/>
  </w:style>
  <w:style w:type="paragraph" w:styleId="a5">
    <w:name w:val="footer"/>
    <w:basedOn w:val="a"/>
    <w:link w:val="a6"/>
    <w:uiPriority w:val="99"/>
    <w:unhideWhenUsed/>
    <w:rsid w:val="001227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27E3"/>
  </w:style>
  <w:style w:type="character" w:customStyle="1" w:styleId="10">
    <w:name w:val="Заголовок 1 Знак"/>
    <w:link w:val="1"/>
    <w:uiPriority w:val="9"/>
    <w:rsid w:val="004263C9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4263C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263C9"/>
    <w:pPr>
      <w:spacing w:after="100"/>
      <w:ind w:left="220"/>
    </w:pPr>
    <w:rPr>
      <w:rFonts w:eastAsia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263C9"/>
    <w:pPr>
      <w:spacing w:after="100"/>
    </w:pPr>
    <w:rPr>
      <w:rFonts w:eastAsia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263C9"/>
    <w:pPr>
      <w:spacing w:after="100"/>
      <w:ind w:left="440"/>
    </w:pPr>
    <w:rPr>
      <w:rFonts w:eastAsia="Times New Roman"/>
      <w:lang w:eastAsia="ru-RU"/>
    </w:rPr>
  </w:style>
  <w:style w:type="character" w:styleId="a8">
    <w:name w:val="Hyperlink"/>
    <w:uiPriority w:val="99"/>
    <w:unhideWhenUsed/>
    <w:rsid w:val="004263C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7866</Words>
  <Characters>44841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52602</CharactersWithSpaces>
  <SharedDoc>false</SharedDoc>
  <HLinks>
    <vt:vector size="138" baseType="variant">
      <vt:variant>
        <vt:i4>1048629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_Toc227440414</vt:lpwstr>
      </vt:variant>
      <vt:variant>
        <vt:i4>1048629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_Toc227440413</vt:lpwstr>
      </vt:variant>
      <vt:variant>
        <vt:i4>1048629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_Toc227440412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_Toc227440411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_Toc227440410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_Toc227440409</vt:lpwstr>
      </vt:variant>
      <vt:variant>
        <vt:i4>1114165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_Toc227440408</vt:lpwstr>
      </vt:variant>
      <vt:variant>
        <vt:i4>1114165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_Toc227440407</vt:lpwstr>
      </vt:variant>
      <vt:variant>
        <vt:i4>1114165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_Toc227440406</vt:lpwstr>
      </vt:variant>
      <vt:variant>
        <vt:i4>1114165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_Toc227440405</vt:lpwstr>
      </vt:variant>
      <vt:variant>
        <vt:i4>1114165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_Toc227440404</vt:lpwstr>
      </vt:variant>
      <vt:variant>
        <vt:i4>1114165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_Toc227440403</vt:lpwstr>
      </vt:variant>
      <vt:variant>
        <vt:i4>1114165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_Toc227440402</vt:lpwstr>
      </vt:variant>
      <vt:variant>
        <vt:i4>1114165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_Toc227440401</vt:lpwstr>
      </vt:variant>
      <vt:variant>
        <vt:i4>1114165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_Toc227440400</vt:lpwstr>
      </vt:variant>
      <vt:variant>
        <vt:i4>1572914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_Toc227440399</vt:lpwstr>
      </vt:variant>
      <vt:variant>
        <vt:i4>1572914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_Toc227440398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_Toc227440397</vt:lpwstr>
      </vt:variant>
      <vt:variant>
        <vt:i4>1572914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_Toc227440396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_Toc227440395</vt:lpwstr>
      </vt:variant>
      <vt:variant>
        <vt:i4>1572914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_Toc227440394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_Toc227440393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_Toc227440392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2026-04-18T19:18:00Z</dcterms:created>
  <dcterms:modified xsi:type="dcterms:W3CDTF">2026-04-18T19:18:00Z</dcterms:modified>
</cp:coreProperties>
</file>