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caps/>
          <w:color w:val="000000"/>
          <w:sz w:val="36"/>
          <w:szCs w:val="36"/>
        </w:rPr>
        <w:t xml:space="preserve">АННОТАЦИЯ</w:t>
      </w:r>
    </w:p>
    <w:p>
      <w:pPr>
        <w:spacing w:after="0" w:before="0" w:line="360" w:lineRule="auto"/>
        <w:ind w:firstLine="709"/>
        <w:jc w:val="both"/>
      </w:pPr>
      <w:r>
        <w:rPr>
          <w:rFonts w:ascii="Times New Roman" w:cs="Times New Roman" w:eastAsia="Times New Roman" w:hAnsi="Times New Roman"/>
          <w:color w:val="000000"/>
          <w:sz w:val="28"/>
          <w:szCs w:val="28"/>
        </w:rPr>
        <w:t xml:space="preserve">Выпускная квалификационная работа посвящена разработке программного модуля интеграции системы обнаружения сетевых вторжений в инфраструктуру IT-безопасности предприятия. В работе проведён анализ современного ландшафта киберугроз в России, рассмотрены существующие IDS-решения, изучена структура набора данных NSL-KDD, выполнен сравнительный анализ методов машинного обучения. Разработан программный модуль на Python 3.10 с применением алгоритма Random Forest, реализован REST API для интеграции с SIEM-системами (MaxPatrol SIEM, Kaspersky KUMA, Wazuh). На тестовой выборке KDDTest+ достигнуты метрики: Accuracy = 0,74, F1 macro = 0,49; для классов DoS и Probe F1-score составил 0,85 и 0,71 соответственно. Практическая ценность работы состоит в создании готового к развёртыванию модуля обнаружения вторжений, совместимого с отечественными операционными системами и SIEM-платформами, соответствующего требованиям 187-ФЗ и приказов ФСТЭК России.</w:t>
      </w:r>
    </w:p>
    <w:p>
      <w:pPr>
        <w:spacing w:after="0" w:before="0" w:line="360"/>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color w:val="000000"/>
          <w:sz w:val="28"/>
          <w:szCs w:val="28"/>
        </w:rPr>
        <w:t>Общий объём работы составляет 45 страниц основного текста. Работа содержит 11 таблиц, 1 рисунок, 30 источников литературы, 1 приложение.</w:t>
      </w:r>
    </w:p>
    <w:p>
      <w:pPr>
        <w:spacing w:after="0" w:before="0" w:line="360"/>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color w:val="000000"/>
          <w:sz w:val="28"/>
          <w:szCs w:val="28"/>
        </w:rPr>
        <w:t xml:space="preserve">Ключевые слова: система обнаружения вторжений, IDS, NSL-KDD, машинное обучение, Random Forest, IT-безопасность, REST API, SIEM, кибербезопасность, классификация сетевого трафика, DoS, DDoS.</w:t>
      </w:r>
    </w:p>
    <w:p>
      <w:pPr>
        <w:pStyle w:val="Heading1"/>
      </w:pPr>
      <w:r>
        <w:rPr>
          <w:rFonts w:ascii="Times New Roman" w:cs="Times New Roman" w:eastAsia="Times New Roman" w:hAnsi="Times New Roman"/>
          <w:b/>
          <w:bCs/>
          <w:caps/>
          <w:color w:val="000000"/>
          <w:sz w:val="36"/>
          <w:szCs w:val="36"/>
        </w:rPr>
        <w:t xml:space="preserve">СПИСОК ИСПОЛЬЗУЕМЫХ СОКРАЩЕНИЙ</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API</w:t>
      </w:r>
      <w:r>
        <w:rPr>
          <w:rFonts w:ascii="Times New Roman" w:cs="Times New Roman" w:eastAsia="Times New Roman" w:hAnsi="Times New Roman"/>
          <w:color w:val="000000"/>
          <w:sz w:val="28"/>
          <w:szCs w:val="28"/>
        </w:rPr>
        <w:t xml:space="preserve"> — Application Programming Interface — программный интерфейс приложения</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APT</w:t>
      </w:r>
      <w:r>
        <w:rPr>
          <w:rFonts w:ascii="Times New Roman" w:cs="Times New Roman" w:eastAsia="Times New Roman" w:hAnsi="Times New Roman"/>
          <w:color w:val="000000"/>
          <w:sz w:val="28"/>
          <w:szCs w:val="28"/>
        </w:rPr>
        <w:t xml:space="preserve"> — Advanced Persistent Threat — целевая продвинутая устойчивая угроза</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CNN</w:t>
      </w:r>
      <w:r>
        <w:rPr>
          <w:rFonts w:ascii="Times New Roman" w:cs="Times New Roman" w:eastAsia="Times New Roman" w:hAnsi="Times New Roman"/>
          <w:color w:val="000000"/>
          <w:sz w:val="28"/>
          <w:szCs w:val="28"/>
        </w:rPr>
        <w:t xml:space="preserve"> — Convolutional Neural Network — сверточная нейронная сеть</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CPU</w:t>
      </w:r>
      <w:r>
        <w:rPr>
          <w:rFonts w:ascii="Times New Roman" w:cs="Times New Roman" w:eastAsia="Times New Roman" w:hAnsi="Times New Roman"/>
          <w:color w:val="000000"/>
          <w:sz w:val="28"/>
          <w:szCs w:val="28"/>
        </w:rPr>
        <w:t xml:space="preserve"> — Central Processing Unit — центральный процессор</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CV</w:t>
      </w:r>
      <w:r>
        <w:rPr>
          <w:rFonts w:ascii="Times New Roman" w:cs="Times New Roman" w:eastAsia="Times New Roman" w:hAnsi="Times New Roman"/>
          <w:color w:val="000000"/>
          <w:sz w:val="28"/>
          <w:szCs w:val="28"/>
        </w:rPr>
        <w:t xml:space="preserve"> — Cross-Validation — кросс-валидация</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DDoS</w:t>
      </w:r>
      <w:r>
        <w:rPr>
          <w:rFonts w:ascii="Times New Roman" w:cs="Times New Roman" w:eastAsia="Times New Roman" w:hAnsi="Times New Roman"/>
          <w:color w:val="000000"/>
          <w:sz w:val="28"/>
          <w:szCs w:val="28"/>
        </w:rPr>
        <w:t xml:space="preserve"> — Distributed Denial of Service — распределённая атака типа «отказ в обслуживании»</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DPI</w:t>
      </w:r>
      <w:r>
        <w:rPr>
          <w:rFonts w:ascii="Times New Roman" w:cs="Times New Roman" w:eastAsia="Times New Roman" w:hAnsi="Times New Roman"/>
          <w:color w:val="000000"/>
          <w:sz w:val="28"/>
          <w:szCs w:val="28"/>
        </w:rPr>
        <w:t xml:space="preserve"> — Deep Packet Inspection — глубокая инспекция пакетов</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DoS</w:t>
      </w:r>
      <w:r>
        <w:rPr>
          <w:rFonts w:ascii="Times New Roman" w:cs="Times New Roman" w:eastAsia="Times New Roman" w:hAnsi="Times New Roman"/>
          <w:color w:val="000000"/>
          <w:sz w:val="28"/>
          <w:szCs w:val="28"/>
        </w:rPr>
        <w:t xml:space="preserve"> — Denial of Service — атака типа «отказ в обслуживании»</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ФСТЭК</w:t>
      </w:r>
      <w:r>
        <w:rPr>
          <w:rFonts w:ascii="Times New Roman" w:cs="Times New Roman" w:eastAsia="Times New Roman" w:hAnsi="Times New Roman"/>
          <w:color w:val="000000"/>
          <w:sz w:val="28"/>
          <w:szCs w:val="28"/>
        </w:rPr>
        <w:t xml:space="preserve"> — Федеральная служба по техническому и экспортному контролю</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HIDS</w:t>
      </w:r>
      <w:r>
        <w:rPr>
          <w:rFonts w:ascii="Times New Roman" w:cs="Times New Roman" w:eastAsia="Times New Roman" w:hAnsi="Times New Roman"/>
          <w:color w:val="000000"/>
          <w:sz w:val="28"/>
          <w:szCs w:val="28"/>
        </w:rPr>
        <w:t xml:space="preserve"> — Host-based Intrusion Detection System — хостовая система обнаружения вторжений</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HTTP</w:t>
      </w:r>
      <w:r>
        <w:rPr>
          <w:rFonts w:ascii="Times New Roman" w:cs="Times New Roman" w:eastAsia="Times New Roman" w:hAnsi="Times New Roman"/>
          <w:color w:val="000000"/>
          <w:sz w:val="28"/>
          <w:szCs w:val="28"/>
        </w:rPr>
        <w:t xml:space="preserve"> — HyperText Transfer Protocol — протокол передачи гипертекста</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IDS</w:t>
      </w:r>
      <w:r>
        <w:rPr>
          <w:rFonts w:ascii="Times New Roman" w:cs="Times New Roman" w:eastAsia="Times New Roman" w:hAnsi="Times New Roman"/>
          <w:color w:val="000000"/>
          <w:sz w:val="28"/>
          <w:szCs w:val="28"/>
        </w:rPr>
        <w:t xml:space="preserve"> — Intrusion Detection System — система обнаружения вторжений</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IPS</w:t>
      </w:r>
      <w:r>
        <w:rPr>
          <w:rFonts w:ascii="Times New Roman" w:cs="Times New Roman" w:eastAsia="Times New Roman" w:hAnsi="Times New Roman"/>
          <w:color w:val="000000"/>
          <w:sz w:val="28"/>
          <w:szCs w:val="28"/>
        </w:rPr>
        <w:t xml:space="preserve"> — Intrusion Prevention System — система предотвращения вторжений</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JSON</w:t>
      </w:r>
      <w:r>
        <w:rPr>
          <w:rFonts w:ascii="Times New Roman" w:cs="Times New Roman" w:eastAsia="Times New Roman" w:hAnsi="Times New Roman"/>
          <w:color w:val="000000"/>
          <w:sz w:val="28"/>
          <w:szCs w:val="28"/>
        </w:rPr>
        <w:t xml:space="preserve"> — JavaScript Object Notation — формат обмена данными</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КИИ</w:t>
      </w:r>
      <w:r>
        <w:rPr>
          <w:rFonts w:ascii="Times New Roman" w:cs="Times New Roman" w:eastAsia="Times New Roman" w:hAnsi="Times New Roman"/>
          <w:color w:val="000000"/>
          <w:sz w:val="28"/>
          <w:szCs w:val="28"/>
        </w:rPr>
        <w:t xml:space="preserve"> — Критическая информационная инфраструктура</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KDD</w:t>
      </w:r>
      <w:r>
        <w:rPr>
          <w:rFonts w:ascii="Times New Roman" w:cs="Times New Roman" w:eastAsia="Times New Roman" w:hAnsi="Times New Roman"/>
          <w:color w:val="000000"/>
          <w:sz w:val="28"/>
          <w:szCs w:val="28"/>
        </w:rPr>
        <w:t xml:space="preserve"> — Knowledge Discovery in Databases — извлечение знаний из баз данных</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LSTM</w:t>
      </w:r>
      <w:r>
        <w:rPr>
          <w:rFonts w:ascii="Times New Roman" w:cs="Times New Roman" w:eastAsia="Times New Roman" w:hAnsi="Times New Roman"/>
          <w:color w:val="000000"/>
          <w:sz w:val="28"/>
          <w:szCs w:val="28"/>
        </w:rPr>
        <w:t xml:space="preserve"> — Long Short-Term Memory — сеть с долгосрочной кратковременной памятью</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ML</w:t>
      </w:r>
      <w:r>
        <w:rPr>
          <w:rFonts w:ascii="Times New Roman" w:cs="Times New Roman" w:eastAsia="Times New Roman" w:hAnsi="Times New Roman"/>
          <w:color w:val="000000"/>
          <w:sz w:val="28"/>
          <w:szCs w:val="28"/>
        </w:rPr>
        <w:t xml:space="preserve"> — Machine Learning — машинное обучение</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NIDS</w:t>
      </w:r>
      <w:r>
        <w:rPr>
          <w:rFonts w:ascii="Times New Roman" w:cs="Times New Roman" w:eastAsia="Times New Roman" w:hAnsi="Times New Roman"/>
          <w:color w:val="000000"/>
          <w:sz w:val="28"/>
          <w:szCs w:val="28"/>
        </w:rPr>
        <w:t xml:space="preserve"> — Network-based Intrusion Detection System — сетевая система обнаружения вторжений</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NSL-KDD</w:t>
      </w:r>
      <w:r>
        <w:rPr>
          <w:rFonts w:ascii="Times New Roman" w:cs="Times New Roman" w:eastAsia="Times New Roman" w:hAnsi="Times New Roman"/>
          <w:color w:val="000000"/>
          <w:sz w:val="28"/>
          <w:szCs w:val="28"/>
        </w:rPr>
        <w:t xml:space="preserve"> — New Sieved KDD — улучшенный набор данных KDD Cup 1999</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ОС</w:t>
      </w:r>
      <w:r>
        <w:rPr>
          <w:rFonts w:ascii="Times New Roman" w:cs="Times New Roman" w:eastAsia="Times New Roman" w:hAnsi="Times New Roman"/>
          <w:color w:val="000000"/>
          <w:sz w:val="28"/>
          <w:szCs w:val="28"/>
        </w:rPr>
        <w:t xml:space="preserve"> — Операционная система</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ПО</w:t>
      </w:r>
      <w:r>
        <w:rPr>
          <w:rFonts w:ascii="Times New Roman" w:cs="Times New Roman" w:eastAsia="Times New Roman" w:hAnsi="Times New Roman"/>
          <w:color w:val="000000"/>
          <w:sz w:val="28"/>
          <w:szCs w:val="28"/>
        </w:rPr>
        <w:t xml:space="preserve"> — Программное обеспечение</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REST</w:t>
      </w:r>
      <w:r>
        <w:rPr>
          <w:rFonts w:ascii="Times New Roman" w:cs="Times New Roman" w:eastAsia="Times New Roman" w:hAnsi="Times New Roman"/>
          <w:color w:val="000000"/>
          <w:sz w:val="28"/>
          <w:szCs w:val="28"/>
        </w:rPr>
        <w:t xml:space="preserve"> — Representational State Transfer — архитектурный стиль взаимодействия</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RF</w:t>
      </w:r>
      <w:r>
        <w:rPr>
          <w:rFonts w:ascii="Times New Roman" w:cs="Times New Roman" w:eastAsia="Times New Roman" w:hAnsi="Times New Roman"/>
          <w:color w:val="000000"/>
          <w:sz w:val="28"/>
          <w:szCs w:val="28"/>
        </w:rPr>
        <w:t xml:space="preserve"> — Random Forest — алгоритм случайного леса</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R2L</w:t>
      </w:r>
      <w:r>
        <w:rPr>
          <w:rFonts w:ascii="Times New Roman" w:cs="Times New Roman" w:eastAsia="Times New Roman" w:hAnsi="Times New Roman"/>
          <w:color w:val="000000"/>
          <w:sz w:val="28"/>
          <w:szCs w:val="28"/>
        </w:rPr>
        <w:t xml:space="preserve"> — Remote to Local — атака удалённого доступа к локальным ресурсам</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SIEM</w:t>
      </w:r>
      <w:r>
        <w:rPr>
          <w:rFonts w:ascii="Times New Roman" w:cs="Times New Roman" w:eastAsia="Times New Roman" w:hAnsi="Times New Roman"/>
          <w:color w:val="000000"/>
          <w:sz w:val="28"/>
          <w:szCs w:val="28"/>
        </w:rPr>
        <w:t xml:space="preserve"> — Security Information and Event Management — управление событиями безопасности</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SVM</w:t>
      </w:r>
      <w:r>
        <w:rPr>
          <w:rFonts w:ascii="Times New Roman" w:cs="Times New Roman" w:eastAsia="Times New Roman" w:hAnsi="Times New Roman"/>
          <w:color w:val="000000"/>
          <w:sz w:val="28"/>
          <w:szCs w:val="28"/>
        </w:rPr>
        <w:t xml:space="preserve"> — Support Vector Machine — метод опорных векторов</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TCP</w:t>
      </w:r>
      <w:r>
        <w:rPr>
          <w:rFonts w:ascii="Times New Roman" w:cs="Times New Roman" w:eastAsia="Times New Roman" w:hAnsi="Times New Roman"/>
          <w:color w:val="000000"/>
          <w:sz w:val="28"/>
          <w:szCs w:val="28"/>
        </w:rPr>
        <w:t xml:space="preserve"> — Transmission Control Protocol — протокол управления передачей</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U2R</w:t>
      </w:r>
      <w:r>
        <w:rPr>
          <w:rFonts w:ascii="Times New Roman" w:cs="Times New Roman" w:eastAsia="Times New Roman" w:hAnsi="Times New Roman"/>
          <w:color w:val="000000"/>
          <w:sz w:val="28"/>
          <w:szCs w:val="28"/>
        </w:rPr>
        <w:t xml:space="preserve"> — User to Root — атака повышения привилегий</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UDP</w:t>
      </w:r>
      <w:r>
        <w:rPr>
          <w:rFonts w:ascii="Times New Roman" w:cs="Times New Roman" w:eastAsia="Times New Roman" w:hAnsi="Times New Roman"/>
          <w:color w:val="000000"/>
          <w:sz w:val="28"/>
          <w:szCs w:val="28"/>
        </w:rPr>
        <w:t xml:space="preserve"> — User Datagram Protocol — протокол пользовательских датаграмм</w:t>
      </w:r>
    </w:p>
    <w:p>
      <w:pPr>
        <w:spacing w:after="0" w:before="0" w:line="360" w:lineRule="auto"/>
        <w:ind w:left="709" w:hanging="709"/>
        <w:jc w:val="both"/>
      </w:pPr>
      <w:r>
        <w:rPr>
          <w:rFonts w:ascii="Times New Roman" w:cs="Times New Roman" w:eastAsia="Times New Roman" w:hAnsi="Times New Roman"/>
          <w:b/>
          <w:bCs/>
          <w:color w:val="000000"/>
          <w:sz w:val="28"/>
          <w:szCs w:val="28"/>
        </w:rPr>
        <w:t xml:space="preserve">WSGI</w:t>
      </w:r>
      <w:r>
        <w:rPr>
          <w:rFonts w:ascii="Times New Roman" w:cs="Times New Roman" w:eastAsia="Times New Roman" w:hAnsi="Times New Roman"/>
          <w:color w:val="000000"/>
          <w:sz w:val="28"/>
          <w:szCs w:val="28"/>
        </w:rPr>
        <w:t xml:space="preserve"> — Web Server Gateway Interface — интерфейс шлюза веб-сервера</w:t>
      </w:r>
    </w:p>
    <w:p>
      <w:pPr>
        <w:pStyle w:val="Heading1"/>
        <w:pageBreakBefore/>
        <w:spacing w:before="0" w:after="240"/>
        <w:jc w:val="center"/>
      </w:pPr>
      <w:r>
        <w:rPr>
          <w:rFonts w:ascii="Times New Roman" w:hAnsi="Times New Roman"/>
          <w:b/>
          <w:color w:val="000000"/>
          <w:sz w:val="36"/>
        </w:rPr>
        <w:t>ОГЛАВЛЕНИЕ</w:t>
      </w:r>
    </w:p>
    <w:p>
      <w:pPr>
        <w:spacing w:before="0" w:after="0" w:line="360" w:lineRule="exact"/>
        <w:ind w:left="0"/>
        <w:jc w:val="left"/>
        <w:tabs>
          <w:tab w:val="right" w:leader="dot" w:pos="8211"/>
        </w:tabs>
      </w:pPr>
      <w:r>
        <w:rPr>
          <w:rFonts w:ascii="Times New Roman" w:hAnsi="Times New Roman"/>
          <w:b/>
          <w:color w:val="000000"/>
          <w:sz w:val="28"/>
        </w:rPr>
        <w:t>ВВЕДЕНИЕ</w:t>
      </w:r>
      <w:r>
        <w:rPr>
          <w:rFonts w:ascii="Times New Roman" w:hAnsi="Times New Roman"/>
          <w:sz w:val="28"/>
        </w:rPr>
        <w:tab/>
      </w:r>
      <w:r>
        <w:rPr>
          <w:rFonts w:ascii="Times New Roman" w:hAnsi="Times New Roman"/>
          <w:b/>
          <w:color w:val="000000"/>
          <w:sz w:val="28"/>
        </w:rPr>
        <w:t>4</w:t>
      </w:r>
    </w:p>
    <w:p>
      <w:pPr>
        <w:spacing w:before="0" w:after="0" w:line="360" w:lineRule="exact"/>
        <w:ind w:left="0"/>
        <w:jc w:val="left"/>
        <w:tabs>
          <w:tab w:val="right" w:leader="dot" w:pos="8211"/>
        </w:tabs>
      </w:pPr>
      <w:r>
        <w:rPr>
          <w:rFonts w:ascii="Times New Roman" w:hAnsi="Times New Roman"/>
          <w:b/>
          <w:color w:val="000000"/>
          <w:sz w:val="28"/>
        </w:rPr>
        <w:t>1 АНАЛИЗ ПРЕДМЕТНОЙ ОБЛАСТИ И ОБЗОР СУЩЕСТВУЮЩИХ РЕШЕНИЙ</w:t>
      </w:r>
      <w:r>
        <w:rPr>
          <w:rFonts w:ascii="Times New Roman" w:hAnsi="Times New Roman"/>
          <w:sz w:val="28"/>
        </w:rPr>
        <w:tab/>
      </w:r>
      <w:r>
        <w:rPr>
          <w:rFonts w:ascii="Times New Roman" w:hAnsi="Times New Roman"/>
          <w:b/>
          <w:color w:val="000000"/>
          <w:sz w:val="28"/>
        </w:rPr>
        <w:t>7</w:t>
      </w:r>
    </w:p>
    <w:p>
      <w:pPr>
        <w:spacing w:before="0" w:after="0" w:line="360" w:lineRule="exact"/>
        <w:ind w:left="283"/>
        <w:jc w:val="left"/>
        <w:tabs>
          <w:tab w:val="right" w:leader="dot" w:pos="8211"/>
        </w:tabs>
      </w:pPr>
      <w:r>
        <w:rPr>
          <w:rFonts w:ascii="Times New Roman" w:hAnsi="Times New Roman"/>
          <w:b w:val="0"/>
          <w:color w:val="000000"/>
          <w:sz w:val="28"/>
        </w:rPr>
        <w:t>1.1 Актуальность проблемы обнаружения сетевых вторжений</w:t>
      </w:r>
      <w:r>
        <w:rPr>
          <w:rFonts w:ascii="Times New Roman" w:hAnsi="Times New Roman"/>
          <w:sz w:val="28"/>
        </w:rPr>
        <w:tab/>
      </w:r>
      <w:r>
        <w:rPr>
          <w:rFonts w:ascii="Times New Roman" w:hAnsi="Times New Roman"/>
          <w:b w:val="0"/>
          <w:color w:val="000000"/>
          <w:sz w:val="28"/>
        </w:rPr>
        <w:t>7</w:t>
      </w:r>
    </w:p>
    <w:p>
      <w:pPr>
        <w:spacing w:before="0" w:after="0" w:line="360" w:lineRule="exact"/>
        <w:ind w:left="283"/>
        <w:jc w:val="left"/>
        <w:tabs>
          <w:tab w:val="right" w:leader="dot" w:pos="8211"/>
        </w:tabs>
      </w:pPr>
      <w:r>
        <w:rPr>
          <w:rFonts w:ascii="Times New Roman" w:hAnsi="Times New Roman"/>
          <w:b w:val="0"/>
          <w:color w:val="000000"/>
          <w:sz w:val="28"/>
        </w:rPr>
        <w:t>1.2 Классификация и обзор систем обнаружения вторжений</w:t>
      </w:r>
      <w:r>
        <w:rPr>
          <w:rFonts w:ascii="Times New Roman" w:hAnsi="Times New Roman"/>
          <w:sz w:val="28"/>
        </w:rPr>
        <w:tab/>
      </w:r>
      <w:r>
        <w:rPr>
          <w:rFonts w:ascii="Times New Roman" w:hAnsi="Times New Roman"/>
          <w:b w:val="0"/>
          <w:color w:val="000000"/>
          <w:sz w:val="28"/>
        </w:rPr>
        <w:t>8</w:t>
      </w:r>
    </w:p>
    <w:p>
      <w:pPr>
        <w:spacing w:before="0" w:after="0" w:line="360" w:lineRule="exact"/>
        <w:ind w:left="567"/>
        <w:jc w:val="left"/>
        <w:tabs>
          <w:tab w:val="right" w:leader="dot" w:pos="8211"/>
        </w:tabs>
      </w:pPr>
      <w:r>
        <w:rPr>
          <w:rFonts w:ascii="Times New Roman" w:hAnsi="Times New Roman"/>
          <w:b w:val="0"/>
          <w:color w:val="000000"/>
          <w:sz w:val="24"/>
        </w:rPr>
        <w:t>1.2.1 Классификация IDS по месту развёртывания</w:t>
      </w:r>
      <w:r>
        <w:rPr>
          <w:rFonts w:ascii="Times New Roman" w:hAnsi="Times New Roman"/>
          <w:sz w:val="24"/>
        </w:rPr>
        <w:tab/>
      </w:r>
      <w:r>
        <w:rPr>
          <w:rFonts w:ascii="Times New Roman" w:hAnsi="Times New Roman"/>
          <w:b w:val="0"/>
          <w:color w:val="000000"/>
          <w:sz w:val="24"/>
        </w:rPr>
        <w:t>9</w:t>
      </w:r>
    </w:p>
    <w:p>
      <w:pPr>
        <w:spacing w:before="0" w:after="0" w:line="360" w:lineRule="exact"/>
        <w:ind w:left="567"/>
        <w:jc w:val="left"/>
        <w:tabs>
          <w:tab w:val="right" w:leader="dot" w:pos="8211"/>
        </w:tabs>
      </w:pPr>
      <w:r>
        <w:rPr>
          <w:rFonts w:ascii="Times New Roman" w:hAnsi="Times New Roman"/>
          <w:b w:val="0"/>
          <w:color w:val="000000"/>
          <w:sz w:val="24"/>
        </w:rPr>
        <w:t>1.2.2 Классификация IDS по методу обнаружения</w:t>
      </w:r>
      <w:r>
        <w:rPr>
          <w:rFonts w:ascii="Times New Roman" w:hAnsi="Times New Roman"/>
          <w:sz w:val="24"/>
        </w:rPr>
        <w:tab/>
      </w:r>
      <w:r>
        <w:rPr>
          <w:rFonts w:ascii="Times New Roman" w:hAnsi="Times New Roman"/>
          <w:b w:val="0"/>
          <w:color w:val="000000"/>
          <w:sz w:val="24"/>
        </w:rPr>
        <w:t>9</w:t>
      </w:r>
    </w:p>
    <w:p>
      <w:pPr>
        <w:spacing w:before="0" w:after="0" w:line="360" w:lineRule="exact"/>
        <w:ind w:left="567"/>
        <w:jc w:val="left"/>
        <w:tabs>
          <w:tab w:val="right" w:leader="dot" w:pos="8211"/>
        </w:tabs>
      </w:pPr>
      <w:r>
        <w:rPr>
          <w:rFonts w:ascii="Times New Roman" w:hAnsi="Times New Roman"/>
          <w:b w:val="0"/>
          <w:color w:val="000000"/>
          <w:sz w:val="24"/>
        </w:rPr>
        <w:t>1.2.3 Обзор существующих IDS-решений</w:t>
      </w:r>
      <w:r>
        <w:rPr>
          <w:rFonts w:ascii="Times New Roman" w:hAnsi="Times New Roman"/>
          <w:sz w:val="24"/>
        </w:rPr>
        <w:tab/>
      </w:r>
      <w:r>
        <w:rPr>
          <w:rFonts w:ascii="Times New Roman" w:hAnsi="Times New Roman"/>
          <w:b w:val="0"/>
          <w:color w:val="000000"/>
          <w:sz w:val="24"/>
        </w:rPr>
        <w:t>10</w:t>
      </w:r>
    </w:p>
    <w:p>
      <w:pPr>
        <w:spacing w:before="0" w:after="0" w:line="360" w:lineRule="exact"/>
        <w:ind w:left="283"/>
        <w:jc w:val="left"/>
        <w:tabs>
          <w:tab w:val="right" w:leader="dot" w:pos="8211"/>
        </w:tabs>
      </w:pPr>
      <w:r>
        <w:rPr>
          <w:rFonts w:ascii="Times New Roman" w:hAnsi="Times New Roman"/>
          <w:b w:val="0"/>
          <w:color w:val="000000"/>
          <w:sz w:val="28"/>
        </w:rPr>
        <w:t>1.3 Анализ существующих аналогов и обоснование необходимости разработки</w:t>
      </w:r>
      <w:r>
        <w:rPr>
          <w:rFonts w:ascii="Times New Roman" w:hAnsi="Times New Roman"/>
          <w:sz w:val="28"/>
        </w:rPr>
        <w:tab/>
      </w:r>
      <w:r>
        <w:rPr>
          <w:rFonts w:ascii="Times New Roman" w:hAnsi="Times New Roman"/>
          <w:b w:val="0"/>
          <w:color w:val="000000"/>
          <w:sz w:val="28"/>
        </w:rPr>
        <w:t>11</w:t>
      </w:r>
    </w:p>
    <w:p>
      <w:pPr>
        <w:spacing w:before="0" w:after="0" w:line="360" w:lineRule="exact"/>
        <w:ind w:left="567"/>
        <w:jc w:val="left"/>
        <w:tabs>
          <w:tab w:val="right" w:leader="dot" w:pos="8211"/>
        </w:tabs>
      </w:pPr>
      <w:r>
        <w:rPr>
          <w:rFonts w:ascii="Times New Roman" w:hAnsi="Times New Roman"/>
          <w:b w:val="0"/>
          <w:color w:val="000000"/>
          <w:sz w:val="24"/>
        </w:rPr>
        <w:t>1.3.1 Критерии сравнения аналогов</w:t>
      </w:r>
      <w:r>
        <w:rPr>
          <w:rFonts w:ascii="Times New Roman" w:hAnsi="Times New Roman"/>
          <w:sz w:val="24"/>
        </w:rPr>
        <w:tab/>
      </w:r>
      <w:r>
        <w:rPr>
          <w:rFonts w:ascii="Times New Roman" w:hAnsi="Times New Roman"/>
          <w:b w:val="0"/>
          <w:color w:val="000000"/>
          <w:sz w:val="24"/>
        </w:rPr>
        <w:t>11</w:t>
      </w:r>
    </w:p>
    <w:p>
      <w:pPr>
        <w:spacing w:before="0" w:after="0" w:line="360" w:lineRule="exact"/>
        <w:ind w:left="567"/>
        <w:jc w:val="left"/>
        <w:tabs>
          <w:tab w:val="right" w:leader="dot" w:pos="8211"/>
        </w:tabs>
      </w:pPr>
      <w:r>
        <w:rPr>
          <w:rFonts w:ascii="Times New Roman" w:hAnsi="Times New Roman"/>
          <w:b w:val="0"/>
          <w:color w:val="000000"/>
          <w:sz w:val="24"/>
        </w:rPr>
        <w:t>1.3.2 Ограничения сигнатурных систем (Snort, Suricata, ViPNet IDS)</w:t>
      </w:r>
      <w:r>
        <w:rPr>
          <w:rFonts w:ascii="Times New Roman" w:hAnsi="Times New Roman"/>
          <w:sz w:val="24"/>
        </w:rPr>
        <w:tab/>
      </w:r>
      <w:r>
        <w:rPr>
          <w:rFonts w:ascii="Times New Roman" w:hAnsi="Times New Roman"/>
          <w:b w:val="0"/>
          <w:color w:val="000000"/>
          <w:sz w:val="24"/>
        </w:rPr>
        <w:t>13</w:t>
      </w:r>
    </w:p>
    <w:p>
      <w:pPr>
        <w:spacing w:before="0" w:after="0" w:line="360" w:lineRule="exact"/>
        <w:ind w:left="567"/>
        <w:jc w:val="left"/>
        <w:tabs>
          <w:tab w:val="right" w:leader="dot" w:pos="8211"/>
        </w:tabs>
      </w:pPr>
      <w:r>
        <w:rPr>
          <w:rFonts w:ascii="Times New Roman" w:hAnsi="Times New Roman"/>
          <w:b w:val="0"/>
          <w:color w:val="000000"/>
          <w:sz w:val="24"/>
        </w:rPr>
        <w:t>1.3.3 Ограничения коммерческих ML-решений (PT NAD, Kaspersky KATA)</w:t>
      </w:r>
      <w:r>
        <w:rPr>
          <w:rFonts w:ascii="Times New Roman" w:hAnsi="Times New Roman"/>
          <w:sz w:val="24"/>
        </w:rPr>
        <w:tab/>
      </w:r>
      <w:r>
        <w:rPr>
          <w:rFonts w:ascii="Times New Roman" w:hAnsi="Times New Roman"/>
          <w:b w:val="0"/>
          <w:color w:val="000000"/>
          <w:sz w:val="24"/>
        </w:rPr>
        <w:t>13</w:t>
      </w:r>
    </w:p>
    <w:p>
      <w:pPr>
        <w:spacing w:before="0" w:after="0" w:line="360" w:lineRule="exact"/>
        <w:ind w:left="567"/>
        <w:jc w:val="left"/>
        <w:tabs>
          <w:tab w:val="right" w:leader="dot" w:pos="8211"/>
        </w:tabs>
      </w:pPr>
      <w:r>
        <w:rPr>
          <w:rFonts w:ascii="Times New Roman" w:hAnsi="Times New Roman"/>
          <w:b w:val="0"/>
          <w:color w:val="000000"/>
          <w:sz w:val="24"/>
        </w:rPr>
        <w:t>1.3.4 Ограничения гибридной open-source системы Wazuh</w:t>
      </w:r>
      <w:r>
        <w:rPr>
          <w:rFonts w:ascii="Times New Roman" w:hAnsi="Times New Roman"/>
          <w:sz w:val="24"/>
        </w:rPr>
        <w:tab/>
      </w:r>
      <w:r>
        <w:rPr>
          <w:rFonts w:ascii="Times New Roman" w:hAnsi="Times New Roman"/>
          <w:b w:val="0"/>
          <w:color w:val="000000"/>
          <w:sz w:val="24"/>
        </w:rPr>
        <w:t>14</w:t>
      </w:r>
    </w:p>
    <w:p>
      <w:pPr>
        <w:spacing w:before="0" w:after="0" w:line="360" w:lineRule="exact"/>
        <w:ind w:left="567"/>
        <w:jc w:val="left"/>
        <w:tabs>
          <w:tab w:val="right" w:leader="dot" w:pos="8211"/>
        </w:tabs>
      </w:pPr>
      <w:r>
        <w:rPr>
          <w:rFonts w:ascii="Times New Roman" w:hAnsi="Times New Roman"/>
          <w:b w:val="0"/>
          <w:color w:val="000000"/>
          <w:sz w:val="24"/>
        </w:rPr>
        <w:t>1.3.5 Итоговый вывод и обоснование разработки</w:t>
      </w:r>
      <w:r>
        <w:rPr>
          <w:rFonts w:ascii="Times New Roman" w:hAnsi="Times New Roman"/>
          <w:sz w:val="24"/>
        </w:rPr>
        <w:tab/>
      </w:r>
      <w:r>
        <w:rPr>
          <w:rFonts w:ascii="Times New Roman" w:hAnsi="Times New Roman"/>
          <w:b w:val="0"/>
          <w:color w:val="000000"/>
          <w:sz w:val="24"/>
        </w:rPr>
        <w:t>15</w:t>
      </w:r>
    </w:p>
    <w:p>
      <w:pPr>
        <w:spacing w:before="0" w:after="0" w:line="360" w:lineRule="exact"/>
        <w:ind w:left="283"/>
        <w:jc w:val="left"/>
        <w:tabs>
          <w:tab w:val="right" w:leader="dot" w:pos="8211"/>
        </w:tabs>
      </w:pPr>
      <w:r>
        <w:rPr>
          <w:rFonts w:ascii="Times New Roman" w:hAnsi="Times New Roman"/>
          <w:b w:val="0"/>
          <w:color w:val="000000"/>
          <w:sz w:val="28"/>
        </w:rPr>
        <w:t>1.4 Набор данных NSL-KDD как эталон для оценки IDS</w:t>
      </w:r>
      <w:r>
        <w:rPr>
          <w:rFonts w:ascii="Times New Roman" w:hAnsi="Times New Roman"/>
          <w:sz w:val="28"/>
        </w:rPr>
        <w:tab/>
      </w:r>
      <w:r>
        <w:rPr>
          <w:rFonts w:ascii="Times New Roman" w:hAnsi="Times New Roman"/>
          <w:b w:val="0"/>
          <w:color w:val="000000"/>
          <w:sz w:val="28"/>
        </w:rPr>
        <w:t>16</w:t>
      </w:r>
    </w:p>
    <w:p>
      <w:pPr>
        <w:spacing w:before="0" w:after="0" w:line="360" w:lineRule="exact"/>
        <w:ind w:left="567"/>
        <w:jc w:val="left"/>
        <w:tabs>
          <w:tab w:val="right" w:leader="dot" w:pos="8211"/>
        </w:tabs>
      </w:pPr>
      <w:r>
        <w:rPr>
          <w:rFonts w:ascii="Times New Roman" w:hAnsi="Times New Roman"/>
          <w:b w:val="0"/>
          <w:color w:val="000000"/>
          <w:sz w:val="24"/>
        </w:rPr>
        <w:t>1.4.1 История создания и обоснование выбора</w:t>
      </w:r>
      <w:r>
        <w:rPr>
          <w:rFonts w:ascii="Times New Roman" w:hAnsi="Times New Roman"/>
          <w:sz w:val="24"/>
        </w:rPr>
        <w:tab/>
      </w:r>
      <w:r>
        <w:rPr>
          <w:rFonts w:ascii="Times New Roman" w:hAnsi="Times New Roman"/>
          <w:b w:val="0"/>
          <w:color w:val="000000"/>
          <w:sz w:val="24"/>
        </w:rPr>
        <w:t>16</w:t>
      </w:r>
    </w:p>
    <w:p>
      <w:pPr>
        <w:spacing w:before="0" w:after="0" w:line="360" w:lineRule="exact"/>
        <w:ind w:left="567"/>
        <w:jc w:val="left"/>
        <w:tabs>
          <w:tab w:val="right" w:leader="dot" w:pos="8211"/>
        </w:tabs>
      </w:pPr>
      <w:r>
        <w:rPr>
          <w:rFonts w:ascii="Times New Roman" w:hAnsi="Times New Roman"/>
          <w:b w:val="0"/>
          <w:color w:val="000000"/>
          <w:sz w:val="24"/>
        </w:rPr>
        <w:t>1.4.2 Структура и характеристики набора данных</w:t>
      </w:r>
      <w:r>
        <w:rPr>
          <w:rFonts w:ascii="Times New Roman" w:hAnsi="Times New Roman"/>
          <w:sz w:val="24"/>
        </w:rPr>
        <w:tab/>
      </w:r>
      <w:r>
        <w:rPr>
          <w:rFonts w:ascii="Times New Roman" w:hAnsi="Times New Roman"/>
          <w:b w:val="0"/>
          <w:color w:val="000000"/>
          <w:sz w:val="24"/>
        </w:rPr>
        <w:t>17</w:t>
      </w:r>
    </w:p>
    <w:p>
      <w:pPr>
        <w:spacing w:before="0" w:after="0" w:line="360" w:lineRule="exact"/>
        <w:ind w:left="283"/>
        <w:jc w:val="left"/>
        <w:tabs>
          <w:tab w:val="right" w:leader="dot" w:pos="8211"/>
        </w:tabs>
      </w:pPr>
      <w:r>
        <w:rPr>
          <w:rFonts w:ascii="Times New Roman" w:hAnsi="Times New Roman"/>
          <w:b w:val="0"/>
          <w:color w:val="000000"/>
          <w:sz w:val="28"/>
        </w:rPr>
        <w:t>1.5 Методы машинного обучения для задачи обнаружения вторжений</w:t>
      </w:r>
      <w:r>
        <w:rPr>
          <w:rFonts w:ascii="Times New Roman" w:hAnsi="Times New Roman"/>
          <w:sz w:val="28"/>
        </w:rPr>
        <w:tab/>
      </w:r>
      <w:r>
        <w:rPr>
          <w:rFonts w:ascii="Times New Roman" w:hAnsi="Times New Roman"/>
          <w:b w:val="0"/>
          <w:color w:val="000000"/>
          <w:sz w:val="28"/>
        </w:rPr>
        <w:t>19</w:t>
      </w:r>
    </w:p>
    <w:p>
      <w:pPr>
        <w:spacing w:before="0" w:after="0" w:line="360" w:lineRule="exact"/>
        <w:ind w:left="567"/>
        <w:jc w:val="left"/>
        <w:tabs>
          <w:tab w:val="right" w:leader="dot" w:pos="8211"/>
        </w:tabs>
      </w:pPr>
      <w:r>
        <w:rPr>
          <w:rFonts w:ascii="Times New Roman" w:hAnsi="Times New Roman"/>
          <w:b w:val="0"/>
          <w:color w:val="000000"/>
          <w:sz w:val="24"/>
        </w:rPr>
        <w:t>1.5.1 Обзор применяемых алгоритмов</w:t>
      </w:r>
      <w:r>
        <w:rPr>
          <w:rFonts w:ascii="Times New Roman" w:hAnsi="Times New Roman"/>
          <w:sz w:val="24"/>
        </w:rPr>
        <w:tab/>
      </w:r>
      <w:r>
        <w:rPr>
          <w:rFonts w:ascii="Times New Roman" w:hAnsi="Times New Roman"/>
          <w:b w:val="0"/>
          <w:color w:val="000000"/>
          <w:sz w:val="24"/>
        </w:rPr>
        <w:t>19</w:t>
      </w:r>
    </w:p>
    <w:p>
      <w:pPr>
        <w:spacing w:before="0" w:after="0" w:line="360" w:lineRule="exact"/>
        <w:ind w:left="567"/>
        <w:jc w:val="left"/>
        <w:tabs>
          <w:tab w:val="right" w:leader="dot" w:pos="8211"/>
        </w:tabs>
      </w:pPr>
      <w:r>
        <w:rPr>
          <w:rFonts w:ascii="Times New Roman" w:hAnsi="Times New Roman"/>
          <w:b w:val="0"/>
          <w:color w:val="000000"/>
          <w:sz w:val="24"/>
        </w:rPr>
        <w:t>1.5.2 Алгоритм случайного леса и обоснование его выбора</w:t>
      </w:r>
      <w:r>
        <w:rPr>
          <w:rFonts w:ascii="Times New Roman" w:hAnsi="Times New Roman"/>
          <w:sz w:val="24"/>
        </w:rPr>
        <w:tab/>
      </w:r>
      <w:r>
        <w:rPr>
          <w:rFonts w:ascii="Times New Roman" w:hAnsi="Times New Roman"/>
          <w:b w:val="0"/>
          <w:color w:val="000000"/>
          <w:sz w:val="24"/>
        </w:rPr>
        <w:t>20</w:t>
      </w:r>
    </w:p>
    <w:p>
      <w:pPr>
        <w:spacing w:before="0" w:after="0" w:line="360" w:lineRule="exact"/>
        <w:ind w:left="283"/>
        <w:jc w:val="left"/>
        <w:tabs>
          <w:tab w:val="right" w:leader="dot" w:pos="8211"/>
        </w:tabs>
      </w:pPr>
      <w:r>
        <w:rPr>
          <w:rFonts w:ascii="Times New Roman" w:hAnsi="Times New Roman"/>
          <w:b w:val="0"/>
          <w:color w:val="000000"/>
          <w:sz w:val="28"/>
        </w:rPr>
        <w:t>1.6 Выводы по первой главе</w:t>
      </w:r>
      <w:r>
        <w:rPr>
          <w:rFonts w:ascii="Times New Roman" w:hAnsi="Times New Roman"/>
          <w:sz w:val="28"/>
        </w:rPr>
        <w:tab/>
      </w:r>
      <w:r>
        <w:rPr>
          <w:rFonts w:ascii="Times New Roman" w:hAnsi="Times New Roman"/>
          <w:b w:val="0"/>
          <w:color w:val="000000"/>
          <w:sz w:val="28"/>
        </w:rPr>
        <w:t>21</w:t>
      </w:r>
    </w:p>
    <w:p>
      <w:pPr>
        <w:spacing w:before="0" w:after="0" w:line="360" w:lineRule="exact"/>
        <w:ind w:left="0"/>
        <w:jc w:val="left"/>
        <w:tabs>
          <w:tab w:val="right" w:leader="dot" w:pos="8211"/>
        </w:tabs>
      </w:pPr>
      <w:r>
        <w:rPr>
          <w:rFonts w:ascii="Times New Roman" w:hAnsi="Times New Roman"/>
          <w:b/>
          <w:color w:val="000000"/>
          <w:sz w:val="28"/>
        </w:rPr>
        <w:t>2 ПРОЕКТИРОВАНИЕ МОДУЛЯ ИНТЕГРАЦИИ СИСТЕМЫ ОБНАРУЖЕНИЯ ВТОРЖЕНИЙ</w:t>
      </w:r>
      <w:r>
        <w:rPr>
          <w:rFonts w:ascii="Times New Roman" w:hAnsi="Times New Roman"/>
          <w:sz w:val="28"/>
        </w:rPr>
        <w:tab/>
      </w:r>
      <w:r>
        <w:rPr>
          <w:rFonts w:ascii="Times New Roman" w:hAnsi="Times New Roman"/>
          <w:b/>
          <w:color w:val="000000"/>
          <w:sz w:val="28"/>
        </w:rPr>
        <w:t>22</w:t>
      </w:r>
    </w:p>
    <w:p>
      <w:pPr>
        <w:spacing w:before="0" w:after="0" w:line="360" w:lineRule="exact"/>
        <w:ind w:left="283"/>
        <w:jc w:val="left"/>
        <w:tabs>
          <w:tab w:val="right" w:leader="dot" w:pos="8211"/>
        </w:tabs>
      </w:pPr>
      <w:r>
        <w:rPr>
          <w:rFonts w:ascii="Times New Roman" w:hAnsi="Times New Roman"/>
          <w:b w:val="0"/>
          <w:color w:val="000000"/>
          <w:sz w:val="28"/>
        </w:rPr>
        <w:t>2.1 Постановка задачи и требования к разрабатываемому модулю</w:t>
      </w:r>
      <w:r>
        <w:rPr>
          <w:rFonts w:ascii="Times New Roman" w:hAnsi="Times New Roman"/>
          <w:sz w:val="28"/>
        </w:rPr>
        <w:tab/>
      </w:r>
      <w:r>
        <w:rPr>
          <w:rFonts w:ascii="Times New Roman" w:hAnsi="Times New Roman"/>
          <w:b w:val="0"/>
          <w:color w:val="000000"/>
          <w:sz w:val="28"/>
        </w:rPr>
        <w:t>22</w:t>
      </w:r>
    </w:p>
    <w:p>
      <w:pPr>
        <w:spacing w:before="0" w:after="0" w:line="360" w:lineRule="exact"/>
        <w:ind w:left="567"/>
        <w:jc w:val="left"/>
        <w:tabs>
          <w:tab w:val="right" w:leader="dot" w:pos="8211"/>
        </w:tabs>
      </w:pPr>
      <w:r>
        <w:rPr>
          <w:rFonts w:ascii="Times New Roman" w:hAnsi="Times New Roman"/>
          <w:b w:val="0"/>
          <w:color w:val="000000"/>
          <w:sz w:val="24"/>
        </w:rPr>
        <w:t>2.1.1 Функциональные требования</w:t>
      </w:r>
      <w:r>
        <w:rPr>
          <w:rFonts w:ascii="Times New Roman" w:hAnsi="Times New Roman"/>
          <w:sz w:val="24"/>
        </w:rPr>
        <w:tab/>
      </w:r>
      <w:r>
        <w:rPr>
          <w:rFonts w:ascii="Times New Roman" w:hAnsi="Times New Roman"/>
          <w:b w:val="0"/>
          <w:color w:val="000000"/>
          <w:sz w:val="24"/>
        </w:rPr>
        <w:t>22</w:t>
      </w:r>
    </w:p>
    <w:p>
      <w:pPr>
        <w:spacing w:before="0" w:after="0" w:line="360" w:lineRule="exact"/>
        <w:ind w:left="567"/>
        <w:jc w:val="left"/>
        <w:tabs>
          <w:tab w:val="right" w:leader="dot" w:pos="8211"/>
        </w:tabs>
      </w:pPr>
      <w:r>
        <w:rPr>
          <w:rFonts w:ascii="Times New Roman" w:hAnsi="Times New Roman"/>
          <w:b w:val="0"/>
          <w:color w:val="000000"/>
          <w:sz w:val="24"/>
        </w:rPr>
        <w:t>2.1.2 Нефункциональные требования</w:t>
      </w:r>
      <w:r>
        <w:rPr>
          <w:rFonts w:ascii="Times New Roman" w:hAnsi="Times New Roman"/>
          <w:sz w:val="24"/>
        </w:rPr>
        <w:tab/>
      </w:r>
      <w:r>
        <w:rPr>
          <w:rFonts w:ascii="Times New Roman" w:hAnsi="Times New Roman"/>
          <w:b w:val="0"/>
          <w:color w:val="000000"/>
          <w:sz w:val="24"/>
        </w:rPr>
        <w:t>23</w:t>
      </w:r>
    </w:p>
    <w:p>
      <w:pPr>
        <w:spacing w:before="0" w:after="0" w:line="360" w:lineRule="exact"/>
        <w:ind w:left="283"/>
        <w:jc w:val="left"/>
        <w:tabs>
          <w:tab w:val="right" w:leader="dot" w:pos="8211"/>
        </w:tabs>
      </w:pPr>
      <w:r>
        <w:rPr>
          <w:rFonts w:ascii="Times New Roman" w:hAnsi="Times New Roman"/>
          <w:b w:val="0"/>
          <w:color w:val="000000"/>
          <w:sz w:val="28"/>
        </w:rPr>
        <w:t>2.2 Архитектура модуля интеграции</w:t>
      </w:r>
      <w:r>
        <w:rPr>
          <w:rFonts w:ascii="Times New Roman" w:hAnsi="Times New Roman"/>
          <w:sz w:val="28"/>
        </w:rPr>
        <w:tab/>
      </w:r>
      <w:r>
        <w:rPr>
          <w:rFonts w:ascii="Times New Roman" w:hAnsi="Times New Roman"/>
          <w:b w:val="0"/>
          <w:color w:val="000000"/>
          <w:sz w:val="28"/>
        </w:rPr>
        <w:t>24</w:t>
      </w:r>
    </w:p>
    <w:p>
      <w:pPr>
        <w:spacing w:before="0" w:after="0" w:line="360" w:lineRule="exact"/>
        <w:ind w:left="567"/>
        <w:jc w:val="left"/>
        <w:tabs>
          <w:tab w:val="right" w:leader="dot" w:pos="8211"/>
        </w:tabs>
      </w:pPr>
      <w:r>
        <w:rPr>
          <w:rFonts w:ascii="Times New Roman" w:hAnsi="Times New Roman"/>
          <w:b w:val="0"/>
          <w:color w:val="000000"/>
          <w:sz w:val="24"/>
        </w:rPr>
        <w:t>2.2.1 Общая архитектурная концепция</w:t>
      </w:r>
      <w:r>
        <w:rPr>
          <w:rFonts w:ascii="Times New Roman" w:hAnsi="Times New Roman"/>
          <w:sz w:val="24"/>
        </w:rPr>
        <w:tab/>
      </w:r>
      <w:r>
        <w:rPr>
          <w:rFonts w:ascii="Times New Roman" w:hAnsi="Times New Roman"/>
          <w:b w:val="0"/>
          <w:color w:val="000000"/>
          <w:sz w:val="24"/>
        </w:rPr>
        <w:t>24</w:t>
      </w:r>
    </w:p>
    <w:p>
      <w:pPr>
        <w:spacing w:before="0" w:after="0" w:line="360" w:lineRule="exact"/>
        <w:ind w:left="567"/>
        <w:jc w:val="left"/>
        <w:tabs>
          <w:tab w:val="right" w:leader="dot" w:pos="8211"/>
        </w:tabs>
      </w:pPr>
      <w:r>
        <w:rPr>
          <w:rFonts w:ascii="Times New Roman" w:hAnsi="Times New Roman"/>
          <w:b w:val="0"/>
          <w:color w:val="000000"/>
          <w:sz w:val="24"/>
        </w:rPr>
        <w:t>2.2.2 Структура проекта</w:t>
      </w:r>
      <w:r>
        <w:rPr>
          <w:rFonts w:ascii="Times New Roman" w:hAnsi="Times New Roman"/>
          <w:sz w:val="24"/>
        </w:rPr>
        <w:tab/>
      </w:r>
      <w:r>
        <w:rPr>
          <w:rFonts w:ascii="Times New Roman" w:hAnsi="Times New Roman"/>
          <w:b w:val="0"/>
          <w:color w:val="000000"/>
          <w:sz w:val="24"/>
        </w:rPr>
        <w:t>25</w:t>
      </w:r>
    </w:p>
    <w:p>
      <w:pPr>
        <w:spacing w:before="0" w:after="0" w:line="360" w:lineRule="exact"/>
        <w:ind w:left="283"/>
        <w:jc w:val="left"/>
        <w:tabs>
          <w:tab w:val="right" w:leader="dot" w:pos="8211"/>
        </w:tabs>
      </w:pPr>
      <w:r>
        <w:rPr>
          <w:rFonts w:ascii="Times New Roman" w:hAnsi="Times New Roman"/>
          <w:b w:val="0"/>
          <w:color w:val="000000"/>
          <w:sz w:val="28"/>
        </w:rPr>
        <w:t>2.3 Проектирование модуля предобработки данных</w:t>
      </w:r>
      <w:r>
        <w:rPr>
          <w:rFonts w:ascii="Times New Roman" w:hAnsi="Times New Roman"/>
          <w:sz w:val="28"/>
        </w:rPr>
        <w:tab/>
      </w:r>
      <w:r>
        <w:rPr>
          <w:rFonts w:ascii="Times New Roman" w:hAnsi="Times New Roman"/>
          <w:b w:val="0"/>
          <w:color w:val="000000"/>
          <w:sz w:val="28"/>
        </w:rPr>
        <w:t>26</w:t>
      </w:r>
    </w:p>
    <w:p>
      <w:pPr>
        <w:spacing w:before="0" w:after="0" w:line="360" w:lineRule="exact"/>
        <w:ind w:left="567"/>
        <w:jc w:val="left"/>
        <w:tabs>
          <w:tab w:val="right" w:leader="dot" w:pos="8211"/>
        </w:tabs>
      </w:pPr>
      <w:r>
        <w:rPr>
          <w:rFonts w:ascii="Times New Roman" w:hAnsi="Times New Roman"/>
          <w:b w:val="0"/>
          <w:color w:val="000000"/>
          <w:sz w:val="24"/>
        </w:rPr>
        <w:t>2.3.1 Загрузка и разбор набора данных</w:t>
      </w:r>
      <w:r>
        <w:rPr>
          <w:rFonts w:ascii="Times New Roman" w:hAnsi="Times New Roman"/>
          <w:sz w:val="24"/>
        </w:rPr>
        <w:tab/>
      </w:r>
      <w:r>
        <w:rPr>
          <w:rFonts w:ascii="Times New Roman" w:hAnsi="Times New Roman"/>
          <w:b w:val="0"/>
          <w:color w:val="000000"/>
          <w:sz w:val="24"/>
        </w:rPr>
        <w:t>26</w:t>
      </w:r>
    </w:p>
    <w:p>
      <w:pPr>
        <w:spacing w:before="0" w:after="0" w:line="360" w:lineRule="exact"/>
        <w:ind w:left="567"/>
        <w:jc w:val="left"/>
        <w:tabs>
          <w:tab w:val="right" w:leader="dot" w:pos="8211"/>
        </w:tabs>
      </w:pPr>
      <w:r>
        <w:rPr>
          <w:rFonts w:ascii="Times New Roman" w:hAnsi="Times New Roman"/>
          <w:b w:val="0"/>
          <w:color w:val="000000"/>
          <w:sz w:val="24"/>
        </w:rPr>
        <w:t>2.3.2 Кодирование категориальных признаков</w:t>
      </w:r>
      <w:r>
        <w:rPr>
          <w:rFonts w:ascii="Times New Roman" w:hAnsi="Times New Roman"/>
          <w:sz w:val="24"/>
        </w:rPr>
        <w:tab/>
      </w:r>
      <w:r>
        <w:rPr>
          <w:rFonts w:ascii="Times New Roman" w:hAnsi="Times New Roman"/>
          <w:b w:val="0"/>
          <w:color w:val="000000"/>
          <w:sz w:val="24"/>
        </w:rPr>
        <w:t>26</w:t>
      </w:r>
    </w:p>
    <w:p>
      <w:pPr>
        <w:spacing w:before="0" w:after="0" w:line="360" w:lineRule="exact"/>
        <w:ind w:left="567"/>
        <w:jc w:val="left"/>
        <w:tabs>
          <w:tab w:val="right" w:leader="dot" w:pos="8211"/>
        </w:tabs>
      </w:pPr>
      <w:r>
        <w:rPr>
          <w:rFonts w:ascii="Times New Roman" w:hAnsi="Times New Roman"/>
          <w:b w:val="0"/>
          <w:color w:val="000000"/>
          <w:sz w:val="24"/>
        </w:rPr>
        <w:t>2.3.3 Формирование целевой переменной и нормализация</w:t>
      </w:r>
      <w:r>
        <w:rPr>
          <w:rFonts w:ascii="Times New Roman" w:hAnsi="Times New Roman"/>
          <w:sz w:val="24"/>
        </w:rPr>
        <w:tab/>
      </w:r>
      <w:r>
        <w:rPr>
          <w:rFonts w:ascii="Times New Roman" w:hAnsi="Times New Roman"/>
          <w:b w:val="0"/>
          <w:color w:val="000000"/>
          <w:sz w:val="24"/>
        </w:rPr>
        <w:t>27</w:t>
      </w:r>
    </w:p>
    <w:p>
      <w:pPr>
        <w:spacing w:before="0" w:after="0" w:line="360" w:lineRule="exact"/>
        <w:ind w:left="283"/>
        <w:jc w:val="left"/>
        <w:tabs>
          <w:tab w:val="right" w:leader="dot" w:pos="8211"/>
        </w:tabs>
      </w:pPr>
      <w:r>
        <w:rPr>
          <w:rFonts w:ascii="Times New Roman" w:hAnsi="Times New Roman"/>
          <w:b w:val="0"/>
          <w:color w:val="000000"/>
          <w:sz w:val="28"/>
        </w:rPr>
        <w:t>2.4 Проектирование модуля обучения классификатора</w:t>
      </w:r>
      <w:r>
        <w:rPr>
          <w:rFonts w:ascii="Times New Roman" w:hAnsi="Times New Roman"/>
          <w:sz w:val="28"/>
        </w:rPr>
        <w:tab/>
      </w:r>
      <w:r>
        <w:rPr>
          <w:rFonts w:ascii="Times New Roman" w:hAnsi="Times New Roman"/>
          <w:b w:val="0"/>
          <w:color w:val="000000"/>
          <w:sz w:val="28"/>
        </w:rPr>
        <w:t>27</w:t>
      </w:r>
    </w:p>
    <w:p>
      <w:pPr>
        <w:spacing w:before="0" w:after="0" w:line="360" w:lineRule="exact"/>
        <w:ind w:left="567"/>
        <w:jc w:val="left"/>
        <w:tabs>
          <w:tab w:val="right" w:leader="dot" w:pos="8211"/>
        </w:tabs>
      </w:pPr>
      <w:r>
        <w:rPr>
          <w:rFonts w:ascii="Times New Roman" w:hAnsi="Times New Roman"/>
          <w:b w:val="0"/>
          <w:color w:val="000000"/>
          <w:sz w:val="24"/>
        </w:rPr>
        <w:t>2.4.1 Конфигурация Random Forest</w:t>
      </w:r>
      <w:r>
        <w:rPr>
          <w:rFonts w:ascii="Times New Roman" w:hAnsi="Times New Roman"/>
          <w:sz w:val="24"/>
        </w:rPr>
        <w:tab/>
      </w:r>
      <w:r>
        <w:rPr>
          <w:rFonts w:ascii="Times New Roman" w:hAnsi="Times New Roman"/>
          <w:b w:val="0"/>
          <w:color w:val="000000"/>
          <w:sz w:val="24"/>
        </w:rPr>
        <w:t>27</w:t>
      </w:r>
    </w:p>
    <w:p>
      <w:pPr>
        <w:spacing w:before="0" w:after="0" w:line="360" w:lineRule="exact"/>
        <w:ind w:left="567"/>
        <w:jc w:val="left"/>
        <w:tabs>
          <w:tab w:val="right" w:leader="dot" w:pos="8211"/>
        </w:tabs>
      </w:pPr>
      <w:r>
        <w:rPr>
          <w:rFonts w:ascii="Times New Roman" w:hAnsi="Times New Roman"/>
          <w:b w:val="0"/>
          <w:color w:val="000000"/>
          <w:sz w:val="24"/>
        </w:rPr>
        <w:t>2.4.2 Подбор гиперпараметров</w:t>
      </w:r>
      <w:r>
        <w:rPr>
          <w:rFonts w:ascii="Times New Roman" w:hAnsi="Times New Roman"/>
          <w:sz w:val="24"/>
        </w:rPr>
        <w:tab/>
      </w:r>
      <w:r>
        <w:rPr>
          <w:rFonts w:ascii="Times New Roman" w:hAnsi="Times New Roman"/>
          <w:b w:val="0"/>
          <w:color w:val="000000"/>
          <w:sz w:val="24"/>
        </w:rPr>
        <w:t>28</w:t>
      </w:r>
    </w:p>
    <w:p>
      <w:pPr>
        <w:spacing w:before="0" w:after="0" w:line="360" w:lineRule="exact"/>
        <w:ind w:left="283"/>
        <w:jc w:val="left"/>
        <w:tabs>
          <w:tab w:val="right" w:leader="dot" w:pos="8211"/>
        </w:tabs>
      </w:pPr>
      <w:r>
        <w:rPr>
          <w:rFonts w:ascii="Times New Roman" w:hAnsi="Times New Roman"/>
          <w:b w:val="0"/>
          <w:color w:val="000000"/>
          <w:sz w:val="28"/>
        </w:rPr>
        <w:t>2.5 Проектирование программного интерфейса REST API</w:t>
      </w:r>
      <w:r>
        <w:rPr>
          <w:rFonts w:ascii="Times New Roman" w:hAnsi="Times New Roman"/>
          <w:sz w:val="28"/>
        </w:rPr>
        <w:tab/>
      </w:r>
      <w:r>
        <w:rPr>
          <w:rFonts w:ascii="Times New Roman" w:hAnsi="Times New Roman"/>
          <w:b w:val="0"/>
          <w:color w:val="000000"/>
          <w:sz w:val="28"/>
        </w:rPr>
        <w:t>28</w:t>
      </w:r>
    </w:p>
    <w:p>
      <w:pPr>
        <w:spacing w:before="0" w:after="0" w:line="360" w:lineRule="exact"/>
        <w:ind w:left="567"/>
        <w:jc w:val="left"/>
        <w:tabs>
          <w:tab w:val="right" w:leader="dot" w:pos="8211"/>
        </w:tabs>
      </w:pPr>
      <w:r>
        <w:rPr>
          <w:rFonts w:ascii="Times New Roman" w:hAnsi="Times New Roman"/>
          <w:b w:val="0"/>
          <w:color w:val="000000"/>
          <w:sz w:val="24"/>
        </w:rPr>
        <w:t>2.5.1 Выбор архитектурного стиля</w:t>
      </w:r>
      <w:r>
        <w:rPr>
          <w:rFonts w:ascii="Times New Roman" w:hAnsi="Times New Roman"/>
          <w:sz w:val="24"/>
        </w:rPr>
        <w:tab/>
      </w:r>
      <w:r>
        <w:rPr>
          <w:rFonts w:ascii="Times New Roman" w:hAnsi="Times New Roman"/>
          <w:b w:val="0"/>
          <w:color w:val="000000"/>
          <w:sz w:val="24"/>
        </w:rPr>
        <w:t>28</w:t>
      </w:r>
    </w:p>
    <w:p>
      <w:pPr>
        <w:spacing w:before="0" w:after="0" w:line="360" w:lineRule="exact"/>
        <w:ind w:left="567"/>
        <w:jc w:val="left"/>
        <w:tabs>
          <w:tab w:val="right" w:leader="dot" w:pos="8211"/>
        </w:tabs>
      </w:pPr>
      <w:r>
        <w:rPr>
          <w:rFonts w:ascii="Times New Roman" w:hAnsi="Times New Roman"/>
          <w:b w:val="0"/>
          <w:color w:val="000000"/>
          <w:sz w:val="24"/>
        </w:rPr>
        <w:t>2.5.2 Описание эндпоинтов</w:t>
      </w:r>
      <w:r>
        <w:rPr>
          <w:rFonts w:ascii="Times New Roman" w:hAnsi="Times New Roman"/>
          <w:sz w:val="24"/>
        </w:rPr>
        <w:tab/>
      </w:r>
      <w:r>
        <w:rPr>
          <w:rFonts w:ascii="Times New Roman" w:hAnsi="Times New Roman"/>
          <w:b w:val="0"/>
          <w:color w:val="000000"/>
          <w:sz w:val="24"/>
        </w:rPr>
        <w:t>29</w:t>
      </w:r>
    </w:p>
    <w:p>
      <w:pPr>
        <w:spacing w:before="0" w:after="0" w:line="360" w:lineRule="exact"/>
        <w:ind w:left="283"/>
        <w:jc w:val="left"/>
        <w:tabs>
          <w:tab w:val="right" w:leader="dot" w:pos="8211"/>
        </w:tabs>
      </w:pPr>
      <w:r>
        <w:rPr>
          <w:rFonts w:ascii="Times New Roman" w:hAnsi="Times New Roman"/>
          <w:b w:val="0"/>
          <w:color w:val="000000"/>
          <w:sz w:val="28"/>
        </w:rPr>
        <w:t>2.6 Интеграция с российскими SIEM-системами</w:t>
      </w:r>
      <w:r>
        <w:rPr>
          <w:rFonts w:ascii="Times New Roman" w:hAnsi="Times New Roman"/>
          <w:sz w:val="28"/>
        </w:rPr>
        <w:tab/>
      </w:r>
      <w:r>
        <w:rPr>
          <w:rFonts w:ascii="Times New Roman" w:hAnsi="Times New Roman"/>
          <w:b w:val="0"/>
          <w:color w:val="000000"/>
          <w:sz w:val="28"/>
        </w:rPr>
        <w:t>29</w:t>
      </w:r>
    </w:p>
    <w:p>
      <w:pPr>
        <w:spacing w:before="0" w:after="0" w:line="360" w:lineRule="exact"/>
        <w:ind w:left="283"/>
        <w:jc w:val="left"/>
        <w:tabs>
          <w:tab w:val="right" w:leader="dot" w:pos="8211"/>
        </w:tabs>
      </w:pPr>
      <w:r>
        <w:rPr>
          <w:rFonts w:ascii="Times New Roman" w:hAnsi="Times New Roman"/>
          <w:b w:val="0"/>
          <w:color w:val="000000"/>
          <w:sz w:val="28"/>
        </w:rPr>
        <w:t>2.7 Выбор и обоснование стека технологий</w:t>
      </w:r>
      <w:r>
        <w:rPr>
          <w:rFonts w:ascii="Times New Roman" w:hAnsi="Times New Roman"/>
          <w:sz w:val="28"/>
        </w:rPr>
        <w:tab/>
      </w:r>
      <w:r>
        <w:rPr>
          <w:rFonts w:ascii="Times New Roman" w:hAnsi="Times New Roman"/>
          <w:b w:val="0"/>
          <w:color w:val="000000"/>
          <w:sz w:val="28"/>
        </w:rPr>
        <w:t>30</w:t>
      </w:r>
    </w:p>
    <w:p>
      <w:pPr>
        <w:spacing w:before="0" w:after="0" w:line="360" w:lineRule="exact"/>
        <w:ind w:left="283"/>
        <w:jc w:val="left"/>
        <w:tabs>
          <w:tab w:val="right" w:leader="dot" w:pos="8211"/>
        </w:tabs>
      </w:pPr>
      <w:r>
        <w:rPr>
          <w:rFonts w:ascii="Times New Roman" w:hAnsi="Times New Roman"/>
          <w:b w:val="0"/>
          <w:color w:val="000000"/>
          <w:sz w:val="28"/>
        </w:rPr>
        <w:t>2.8 Выводы по второй главе</w:t>
      </w:r>
      <w:r>
        <w:rPr>
          <w:rFonts w:ascii="Times New Roman" w:hAnsi="Times New Roman"/>
          <w:sz w:val="28"/>
        </w:rPr>
        <w:tab/>
      </w:r>
      <w:r>
        <w:rPr>
          <w:rFonts w:ascii="Times New Roman" w:hAnsi="Times New Roman"/>
          <w:b w:val="0"/>
          <w:color w:val="000000"/>
          <w:sz w:val="28"/>
        </w:rPr>
        <w:t>31</w:t>
      </w:r>
    </w:p>
    <w:p>
      <w:pPr>
        <w:spacing w:before="0" w:after="0" w:line="360" w:lineRule="exact"/>
        <w:ind w:left="0"/>
        <w:jc w:val="left"/>
        <w:tabs>
          <w:tab w:val="right" w:leader="dot" w:pos="8211"/>
        </w:tabs>
      </w:pPr>
      <w:r>
        <w:rPr>
          <w:rFonts w:ascii="Times New Roman" w:hAnsi="Times New Roman"/>
          <w:b/>
          <w:color w:val="000000"/>
          <w:sz w:val="28"/>
        </w:rPr>
        <w:t>3 РЕАЛИЗАЦИЯ МОДУЛЯ И АНАЛИЗ РЕЗУЛЬТАТОВ</w:t>
      </w:r>
      <w:r>
        <w:rPr>
          <w:rFonts w:ascii="Times New Roman" w:hAnsi="Times New Roman"/>
          <w:sz w:val="28"/>
        </w:rPr>
        <w:tab/>
      </w:r>
      <w:r>
        <w:rPr>
          <w:rFonts w:ascii="Times New Roman" w:hAnsi="Times New Roman"/>
          <w:b/>
          <w:color w:val="000000"/>
          <w:sz w:val="28"/>
        </w:rPr>
        <w:t>32</w:t>
      </w:r>
    </w:p>
    <w:p>
      <w:pPr>
        <w:spacing w:before="0" w:after="0" w:line="360" w:lineRule="exact"/>
        <w:ind w:left="283"/>
        <w:jc w:val="left"/>
        <w:tabs>
          <w:tab w:val="right" w:leader="dot" w:pos="8211"/>
        </w:tabs>
      </w:pPr>
      <w:r>
        <w:rPr>
          <w:rFonts w:ascii="Times New Roman" w:hAnsi="Times New Roman"/>
          <w:b w:val="0"/>
          <w:color w:val="000000"/>
          <w:sz w:val="28"/>
        </w:rPr>
        <w:t>3.1 Подготовка среды разработки</w:t>
      </w:r>
      <w:r>
        <w:rPr>
          <w:rFonts w:ascii="Times New Roman" w:hAnsi="Times New Roman"/>
          <w:sz w:val="28"/>
        </w:rPr>
        <w:tab/>
      </w:r>
      <w:r>
        <w:rPr>
          <w:rFonts w:ascii="Times New Roman" w:hAnsi="Times New Roman"/>
          <w:b w:val="0"/>
          <w:color w:val="000000"/>
          <w:sz w:val="28"/>
        </w:rPr>
        <w:t>32</w:t>
      </w:r>
    </w:p>
    <w:p>
      <w:pPr>
        <w:spacing w:before="0" w:after="0" w:line="360" w:lineRule="exact"/>
        <w:ind w:left="567"/>
        <w:jc w:val="left"/>
        <w:tabs>
          <w:tab w:val="right" w:leader="dot" w:pos="8211"/>
        </w:tabs>
      </w:pPr>
      <w:r>
        <w:rPr>
          <w:rFonts w:ascii="Times New Roman" w:hAnsi="Times New Roman"/>
          <w:b w:val="0"/>
          <w:color w:val="000000"/>
          <w:sz w:val="24"/>
        </w:rPr>
        <w:t>3.1.1 Используемые программные средства</w:t>
      </w:r>
      <w:r>
        <w:rPr>
          <w:rFonts w:ascii="Times New Roman" w:hAnsi="Times New Roman"/>
          <w:sz w:val="24"/>
        </w:rPr>
        <w:tab/>
      </w:r>
      <w:r>
        <w:rPr>
          <w:rFonts w:ascii="Times New Roman" w:hAnsi="Times New Roman"/>
          <w:b w:val="0"/>
          <w:color w:val="000000"/>
          <w:sz w:val="24"/>
        </w:rPr>
        <w:t>32</w:t>
      </w:r>
    </w:p>
    <w:p>
      <w:pPr>
        <w:spacing w:before="0" w:after="0" w:line="360" w:lineRule="exact"/>
        <w:ind w:left="567"/>
        <w:jc w:val="left"/>
        <w:tabs>
          <w:tab w:val="right" w:leader="dot" w:pos="8211"/>
        </w:tabs>
      </w:pPr>
      <w:r>
        <w:rPr>
          <w:rFonts w:ascii="Times New Roman" w:hAnsi="Times New Roman"/>
          <w:b w:val="0"/>
          <w:color w:val="000000"/>
          <w:sz w:val="24"/>
        </w:rPr>
        <w:t>3.1.2 Организация проекта</w:t>
      </w:r>
      <w:r>
        <w:rPr>
          <w:rFonts w:ascii="Times New Roman" w:hAnsi="Times New Roman"/>
          <w:sz w:val="24"/>
        </w:rPr>
        <w:tab/>
      </w:r>
      <w:r>
        <w:rPr>
          <w:rFonts w:ascii="Times New Roman" w:hAnsi="Times New Roman"/>
          <w:b w:val="0"/>
          <w:color w:val="000000"/>
          <w:sz w:val="24"/>
        </w:rPr>
        <w:t>33</w:t>
      </w:r>
    </w:p>
    <w:p>
      <w:pPr>
        <w:spacing w:before="0" w:after="0" w:line="360" w:lineRule="exact"/>
        <w:ind w:left="283"/>
        <w:jc w:val="left"/>
        <w:tabs>
          <w:tab w:val="right" w:leader="dot" w:pos="8211"/>
        </w:tabs>
      </w:pPr>
      <w:r>
        <w:rPr>
          <w:rFonts w:ascii="Times New Roman" w:hAnsi="Times New Roman"/>
          <w:b w:val="0"/>
          <w:color w:val="000000"/>
          <w:sz w:val="28"/>
        </w:rPr>
        <w:t>3.2 Реализация модуля предобработки данных</w:t>
      </w:r>
      <w:r>
        <w:rPr>
          <w:rFonts w:ascii="Times New Roman" w:hAnsi="Times New Roman"/>
          <w:sz w:val="28"/>
        </w:rPr>
        <w:tab/>
      </w:r>
      <w:r>
        <w:rPr>
          <w:rFonts w:ascii="Times New Roman" w:hAnsi="Times New Roman"/>
          <w:b w:val="0"/>
          <w:color w:val="000000"/>
          <w:sz w:val="28"/>
        </w:rPr>
        <w:t>33</w:t>
      </w:r>
    </w:p>
    <w:p>
      <w:pPr>
        <w:spacing w:before="0" w:after="0" w:line="360" w:lineRule="exact"/>
        <w:ind w:left="567"/>
        <w:jc w:val="left"/>
        <w:tabs>
          <w:tab w:val="right" w:leader="dot" w:pos="8211"/>
        </w:tabs>
      </w:pPr>
      <w:r>
        <w:rPr>
          <w:rFonts w:ascii="Times New Roman" w:hAnsi="Times New Roman"/>
          <w:b w:val="0"/>
          <w:color w:val="000000"/>
          <w:sz w:val="24"/>
        </w:rPr>
        <w:t>3.2.1 Загрузка набора данных</w:t>
      </w:r>
      <w:r>
        <w:rPr>
          <w:rFonts w:ascii="Times New Roman" w:hAnsi="Times New Roman"/>
          <w:sz w:val="24"/>
        </w:rPr>
        <w:tab/>
      </w:r>
      <w:r>
        <w:rPr>
          <w:rFonts w:ascii="Times New Roman" w:hAnsi="Times New Roman"/>
          <w:b w:val="0"/>
          <w:color w:val="000000"/>
          <w:sz w:val="24"/>
        </w:rPr>
        <w:t>33</w:t>
      </w:r>
    </w:p>
    <w:p>
      <w:pPr>
        <w:spacing w:before="0" w:after="0" w:line="360" w:lineRule="exact"/>
        <w:ind w:left="567"/>
        <w:jc w:val="left"/>
        <w:tabs>
          <w:tab w:val="right" w:leader="dot" w:pos="8211"/>
        </w:tabs>
      </w:pPr>
      <w:r>
        <w:rPr>
          <w:rFonts w:ascii="Times New Roman" w:hAnsi="Times New Roman"/>
          <w:b w:val="0"/>
          <w:color w:val="000000"/>
          <w:sz w:val="24"/>
        </w:rPr>
        <w:t>3.2.2 Кодирование и нормализация</w:t>
      </w:r>
      <w:r>
        <w:rPr>
          <w:rFonts w:ascii="Times New Roman" w:hAnsi="Times New Roman"/>
          <w:sz w:val="24"/>
        </w:rPr>
        <w:tab/>
      </w:r>
      <w:r>
        <w:rPr>
          <w:rFonts w:ascii="Times New Roman" w:hAnsi="Times New Roman"/>
          <w:b w:val="0"/>
          <w:color w:val="000000"/>
          <w:sz w:val="24"/>
        </w:rPr>
        <w:t>34</w:t>
      </w:r>
    </w:p>
    <w:p>
      <w:pPr>
        <w:spacing w:before="0" w:after="0" w:line="360" w:lineRule="exact"/>
        <w:ind w:left="283"/>
        <w:jc w:val="left"/>
        <w:tabs>
          <w:tab w:val="right" w:leader="dot" w:pos="8211"/>
        </w:tabs>
      </w:pPr>
      <w:r>
        <w:rPr>
          <w:rFonts w:ascii="Times New Roman" w:hAnsi="Times New Roman"/>
          <w:b w:val="0"/>
          <w:color w:val="000000"/>
          <w:sz w:val="28"/>
        </w:rPr>
        <w:t>3.3 Обучение и настройка гиперпараметров классификатора</w:t>
      </w:r>
      <w:r>
        <w:rPr>
          <w:rFonts w:ascii="Times New Roman" w:hAnsi="Times New Roman"/>
          <w:sz w:val="28"/>
        </w:rPr>
        <w:tab/>
      </w:r>
      <w:r>
        <w:rPr>
          <w:rFonts w:ascii="Times New Roman" w:hAnsi="Times New Roman"/>
          <w:b w:val="0"/>
          <w:color w:val="000000"/>
          <w:sz w:val="28"/>
        </w:rPr>
        <w:t>34</w:t>
      </w:r>
    </w:p>
    <w:p>
      <w:pPr>
        <w:spacing w:before="0" w:after="0" w:line="360" w:lineRule="exact"/>
        <w:ind w:left="567"/>
        <w:jc w:val="left"/>
        <w:tabs>
          <w:tab w:val="right" w:leader="dot" w:pos="8211"/>
        </w:tabs>
      </w:pPr>
      <w:r>
        <w:rPr>
          <w:rFonts w:ascii="Times New Roman" w:hAnsi="Times New Roman"/>
          <w:b w:val="0"/>
          <w:color w:val="000000"/>
          <w:sz w:val="24"/>
        </w:rPr>
        <w:t>3.3.1 Запуск и параметры обучения</w:t>
      </w:r>
      <w:r>
        <w:rPr>
          <w:rFonts w:ascii="Times New Roman" w:hAnsi="Times New Roman"/>
          <w:sz w:val="24"/>
        </w:rPr>
        <w:tab/>
      </w:r>
      <w:r>
        <w:rPr>
          <w:rFonts w:ascii="Times New Roman" w:hAnsi="Times New Roman"/>
          <w:b w:val="0"/>
          <w:color w:val="000000"/>
          <w:sz w:val="24"/>
        </w:rPr>
        <w:t>34</w:t>
      </w:r>
    </w:p>
    <w:p>
      <w:pPr>
        <w:spacing w:before="0" w:after="0" w:line="360" w:lineRule="exact"/>
        <w:ind w:left="567"/>
        <w:jc w:val="left"/>
        <w:tabs>
          <w:tab w:val="right" w:leader="dot" w:pos="8211"/>
        </w:tabs>
      </w:pPr>
      <w:r>
        <w:rPr>
          <w:rFonts w:ascii="Times New Roman" w:hAnsi="Times New Roman"/>
          <w:b w:val="0"/>
          <w:color w:val="000000"/>
          <w:sz w:val="24"/>
        </w:rPr>
        <w:t>3.3.2 Результаты подбора гиперпараметров</w:t>
      </w:r>
      <w:r>
        <w:rPr>
          <w:rFonts w:ascii="Times New Roman" w:hAnsi="Times New Roman"/>
          <w:sz w:val="24"/>
        </w:rPr>
        <w:tab/>
      </w:r>
      <w:r>
        <w:rPr>
          <w:rFonts w:ascii="Times New Roman" w:hAnsi="Times New Roman"/>
          <w:b w:val="0"/>
          <w:color w:val="000000"/>
          <w:sz w:val="24"/>
        </w:rPr>
        <w:t>35</w:t>
      </w:r>
    </w:p>
    <w:p>
      <w:pPr>
        <w:spacing w:before="0" w:after="0" w:line="360" w:lineRule="exact"/>
        <w:ind w:left="283"/>
        <w:jc w:val="left"/>
        <w:tabs>
          <w:tab w:val="right" w:leader="dot" w:pos="8211"/>
        </w:tabs>
      </w:pPr>
      <w:r>
        <w:rPr>
          <w:rFonts w:ascii="Times New Roman" w:hAnsi="Times New Roman"/>
          <w:b w:val="0"/>
          <w:color w:val="000000"/>
          <w:sz w:val="28"/>
        </w:rPr>
        <w:t>3.4 Анализ результатов классификации</w:t>
      </w:r>
      <w:r>
        <w:rPr>
          <w:rFonts w:ascii="Times New Roman" w:hAnsi="Times New Roman"/>
          <w:sz w:val="28"/>
        </w:rPr>
        <w:tab/>
      </w:r>
      <w:r>
        <w:rPr>
          <w:rFonts w:ascii="Times New Roman" w:hAnsi="Times New Roman"/>
          <w:b w:val="0"/>
          <w:color w:val="000000"/>
          <w:sz w:val="28"/>
        </w:rPr>
        <w:t>35</w:t>
      </w:r>
    </w:p>
    <w:p>
      <w:pPr>
        <w:spacing w:before="0" w:after="0" w:line="360" w:lineRule="exact"/>
        <w:ind w:left="567"/>
        <w:jc w:val="left"/>
        <w:tabs>
          <w:tab w:val="right" w:leader="dot" w:pos="8211"/>
        </w:tabs>
      </w:pPr>
      <w:r>
        <w:rPr>
          <w:rFonts w:ascii="Times New Roman" w:hAnsi="Times New Roman"/>
          <w:b w:val="0"/>
          <w:color w:val="000000"/>
          <w:sz w:val="24"/>
        </w:rPr>
        <w:t>3.4.1 Метрики качества на тестовой выборке</w:t>
      </w:r>
      <w:r>
        <w:rPr>
          <w:rFonts w:ascii="Times New Roman" w:hAnsi="Times New Roman"/>
          <w:sz w:val="24"/>
        </w:rPr>
        <w:tab/>
      </w:r>
      <w:r>
        <w:rPr>
          <w:rFonts w:ascii="Times New Roman" w:hAnsi="Times New Roman"/>
          <w:b w:val="0"/>
          <w:color w:val="000000"/>
          <w:sz w:val="24"/>
        </w:rPr>
        <w:t>35</w:t>
      </w:r>
    </w:p>
    <w:p>
      <w:pPr>
        <w:spacing w:before="0" w:after="0" w:line="360" w:lineRule="exact"/>
        <w:ind w:left="567"/>
        <w:jc w:val="left"/>
        <w:tabs>
          <w:tab w:val="right" w:leader="dot" w:pos="8211"/>
        </w:tabs>
      </w:pPr>
      <w:r>
        <w:rPr>
          <w:rFonts w:ascii="Times New Roman" w:hAnsi="Times New Roman"/>
          <w:b w:val="0"/>
          <w:color w:val="000000"/>
          <w:sz w:val="24"/>
        </w:rPr>
        <w:t>3.4.2 Анализ результатов по классам</w:t>
      </w:r>
      <w:r>
        <w:rPr>
          <w:rFonts w:ascii="Times New Roman" w:hAnsi="Times New Roman"/>
          <w:sz w:val="24"/>
        </w:rPr>
        <w:tab/>
      </w:r>
      <w:r>
        <w:rPr>
          <w:rFonts w:ascii="Times New Roman" w:hAnsi="Times New Roman"/>
          <w:b w:val="0"/>
          <w:color w:val="000000"/>
          <w:sz w:val="24"/>
        </w:rPr>
        <w:t>36</w:t>
      </w:r>
    </w:p>
    <w:p>
      <w:pPr>
        <w:spacing w:before="0" w:after="0" w:line="360" w:lineRule="exact"/>
        <w:ind w:left="567"/>
        <w:jc w:val="left"/>
        <w:tabs>
          <w:tab w:val="right" w:leader="dot" w:pos="8211"/>
        </w:tabs>
      </w:pPr>
      <w:r>
        <w:rPr>
          <w:rFonts w:ascii="Times New Roman" w:hAnsi="Times New Roman"/>
          <w:b w:val="0"/>
          <w:color w:val="000000"/>
          <w:sz w:val="24"/>
        </w:rPr>
        <w:t>3.4.3 Интерпретация расхождения CV и тестовых метрик</w:t>
      </w:r>
      <w:r>
        <w:rPr>
          <w:rFonts w:ascii="Times New Roman" w:hAnsi="Times New Roman"/>
          <w:sz w:val="24"/>
        </w:rPr>
        <w:tab/>
      </w:r>
      <w:r>
        <w:rPr>
          <w:rFonts w:ascii="Times New Roman" w:hAnsi="Times New Roman"/>
          <w:b w:val="0"/>
          <w:color w:val="000000"/>
          <w:sz w:val="24"/>
        </w:rPr>
        <w:t>37</w:t>
      </w:r>
    </w:p>
    <w:p>
      <w:pPr>
        <w:spacing w:before="0" w:after="0" w:line="360" w:lineRule="exact"/>
        <w:ind w:left="283"/>
        <w:jc w:val="left"/>
        <w:tabs>
          <w:tab w:val="right" w:leader="dot" w:pos="8211"/>
        </w:tabs>
      </w:pPr>
      <w:r>
        <w:rPr>
          <w:rFonts w:ascii="Times New Roman" w:hAnsi="Times New Roman"/>
          <w:b w:val="0"/>
          <w:color w:val="000000"/>
          <w:sz w:val="28"/>
        </w:rPr>
        <w:t>3.5 Тестирование модуля</w:t>
      </w:r>
      <w:r>
        <w:rPr>
          <w:rFonts w:ascii="Times New Roman" w:hAnsi="Times New Roman"/>
          <w:sz w:val="28"/>
        </w:rPr>
        <w:tab/>
      </w:r>
      <w:r>
        <w:rPr>
          <w:rFonts w:ascii="Times New Roman" w:hAnsi="Times New Roman"/>
          <w:b w:val="0"/>
          <w:color w:val="000000"/>
          <w:sz w:val="28"/>
        </w:rPr>
        <w:t>38</w:t>
      </w:r>
    </w:p>
    <w:p>
      <w:pPr>
        <w:spacing w:before="0" w:after="0" w:line="360" w:lineRule="exact"/>
        <w:ind w:left="283"/>
        <w:jc w:val="left"/>
        <w:tabs>
          <w:tab w:val="right" w:leader="dot" w:pos="8211"/>
        </w:tabs>
      </w:pPr>
      <w:r>
        <w:rPr>
          <w:rFonts w:ascii="Times New Roman" w:hAnsi="Times New Roman"/>
          <w:b w:val="0"/>
          <w:color w:val="000000"/>
          <w:sz w:val="28"/>
        </w:rPr>
        <w:t>3.6 Выводы по третьей главе</w:t>
      </w:r>
      <w:r>
        <w:rPr>
          <w:rFonts w:ascii="Times New Roman" w:hAnsi="Times New Roman"/>
          <w:sz w:val="28"/>
        </w:rPr>
        <w:tab/>
      </w:r>
      <w:r>
        <w:rPr>
          <w:rFonts w:ascii="Times New Roman" w:hAnsi="Times New Roman"/>
          <w:b w:val="0"/>
          <w:color w:val="000000"/>
          <w:sz w:val="28"/>
        </w:rPr>
        <w:t>38</w:t>
      </w:r>
    </w:p>
    <w:p>
      <w:pPr>
        <w:spacing w:before="0" w:after="0" w:line="360" w:lineRule="exact"/>
        <w:ind w:left="0"/>
        <w:jc w:val="left"/>
        <w:tabs>
          <w:tab w:val="right" w:leader="dot" w:pos="8211"/>
        </w:tabs>
      </w:pPr>
      <w:r>
        <w:rPr>
          <w:rFonts w:ascii="Times New Roman" w:hAnsi="Times New Roman"/>
          <w:b/>
          <w:color w:val="000000"/>
          <w:sz w:val="28"/>
        </w:rPr>
        <w:t>ЗАКЛЮЧЕНИЕ</w:t>
      </w:r>
      <w:r>
        <w:rPr>
          <w:rFonts w:ascii="Times New Roman" w:hAnsi="Times New Roman"/>
          <w:sz w:val="28"/>
        </w:rPr>
        <w:tab/>
      </w:r>
      <w:r>
        <w:rPr>
          <w:rFonts w:ascii="Times New Roman" w:hAnsi="Times New Roman"/>
          <w:b/>
          <w:color w:val="000000"/>
          <w:sz w:val="28"/>
        </w:rPr>
        <w:t>39</w:t>
      </w:r>
    </w:p>
    <w:p>
      <w:pPr>
        <w:spacing w:before="0" w:after="0" w:line="360" w:lineRule="exact"/>
        <w:ind w:left="0"/>
        <w:jc w:val="left"/>
        <w:tabs>
          <w:tab w:val="right" w:leader="dot" w:pos="8211"/>
        </w:tabs>
      </w:pPr>
      <w:r>
        <w:rPr>
          <w:rFonts w:ascii="Times New Roman" w:hAnsi="Times New Roman"/>
          <w:b/>
          <w:color w:val="000000"/>
          <w:sz w:val="28"/>
        </w:rPr>
        <w:t>СПИСОК ИСПОЛЬЗОВАННЫХ ИСТОЧНИКОВ</w:t>
      </w:r>
      <w:r>
        <w:rPr>
          <w:rFonts w:ascii="Times New Roman" w:hAnsi="Times New Roman"/>
          <w:sz w:val="28"/>
        </w:rPr>
        <w:tab/>
      </w:r>
      <w:r>
        <w:rPr>
          <w:rFonts w:ascii="Times New Roman" w:hAnsi="Times New Roman"/>
          <w:b/>
          <w:color w:val="000000"/>
          <w:sz w:val="28"/>
        </w:rPr>
        <w:t>40</w:t>
      </w:r>
    </w:p>
    <w:p>
      <w:pPr>
        <w:spacing w:before="0" w:after="0" w:line="360" w:lineRule="exact"/>
        <w:ind w:left="0"/>
        <w:jc w:val="left"/>
        <w:tabs>
          <w:tab w:val="right" w:leader="dot" w:pos="8211"/>
        </w:tabs>
      </w:pPr>
      <w:r>
        <w:rPr>
          <w:rFonts w:ascii="Times New Roman" w:hAnsi="Times New Roman"/>
          <w:b/>
          <w:color w:val="000000"/>
          <w:sz w:val="28"/>
        </w:rPr>
        <w:t>ПРИЛОЖЕНИЯ</w:t>
      </w:r>
      <w:r>
        <w:rPr>
          <w:rFonts w:ascii="Times New Roman" w:hAnsi="Times New Roman"/>
          <w:sz w:val="28"/>
        </w:rPr>
        <w:tab/>
      </w:r>
      <w:r>
        <w:rPr>
          <w:rFonts w:ascii="Times New Roman" w:hAnsi="Times New Roman"/>
          <w:b/>
          <w:color w:val="000000"/>
          <w:sz w:val="28"/>
        </w:rPr>
        <w:t>44</w:t>
      </w:r>
    </w:p>
    <w:sectPr w:rsidR="00FC693F" w:rsidRPr="0006063C" w:rsidSect="00034616">
      <w:pgSz w:w="12240" w:h="15840"/>
      <w:pgMar w:top="1440" w:right="1800" w:bottom="1440" w:left="1800" w:header="720" w:footer="720" w:gutter="0"/>
      <w:cols w:space="720"/>
      <w:docGrid w:linePitch="360"/>
    </w:sectPr>
    <w:p>
      <w:pPr>
        <w:pStyle w:val="Heading1"/>
      </w:pPr>
      <w:r>
        <w:rPr>
          <w:rFonts w:ascii="Times New Roman" w:cs="Times New Roman" w:eastAsia="Times New Roman" w:hAnsi="Times New Roman"/>
          <w:b/>
          <w:bCs/>
          <w:caps/>
          <w:color w:val="000000"/>
          <w:sz w:val="36"/>
          <w:szCs w:val="36"/>
        </w:rPr>
        <w:t xml:space="preserve">ВВЕДЕНИЕ</w:t>
      </w:r>
    </w:p>
    <w:p>
      <w:pPr>
        <w:spacing w:after="0" w:before="0" w:line="360" w:lineRule="auto"/>
        <w:ind w:firstLine="709"/>
        <w:jc w:val="both"/>
      </w:pPr>
      <w:r>
        <w:rPr>
          <w:rFonts w:ascii="Times New Roman" w:cs="Times New Roman" w:eastAsia="Times New Roman" w:hAnsi="Times New Roman"/>
          <w:color w:val="000000"/>
          <w:sz w:val="28"/>
          <w:szCs w:val="28"/>
        </w:rPr>
        <w:t xml:space="preserve">Стремительная цифровизация российской экономики сопровождается непрекращающимся ростом числа кибератак на корпоративную инфраструктуру. По данным центра мониторинга RED Security SOC, за девять месяцев 2025 года число атак на российские компании превысило 105 000 — рост составил 46% по сравнению с аналогичным периодом 2024 года, причём каждая пятая атака носила критический характер и могла повлечь убытки свыше 1 млн рублей [1]. Атаки на корпоративные сети остаются главным вектором проникновения.</w:t>
      </w:r>
    </w:p>
    <w:p>
      <w:pPr>
        <w:spacing w:after="0" w:before="0" w:line="360" w:lineRule="auto"/>
        <w:ind w:firstLine="709"/>
        <w:jc w:val="both"/>
      </w:pPr>
      <w:r>
        <w:rPr>
          <w:rFonts w:ascii="Times New Roman" w:cs="Times New Roman" w:eastAsia="Times New Roman" w:hAnsi="Times New Roman"/>
          <w:color w:val="000000"/>
          <w:sz w:val="28"/>
          <w:szCs w:val="28"/>
        </w:rPr>
        <w:t xml:space="preserve">Традиционные средства защиты, основанные на сигнатурном анализе трафика, не позволяют обнаруживать принципиально новые угрозы и требуют постоянного ручного обновления баз правил. В сложившихся условиях возрастает востребованность интеллектуальных систем обнаружения вторжений (Intrusion Detection Systems, IDS), способных к автоматическому выявлению аномалий на основе методов машинного обучения (Machine Learning, ML).</w:t>
      </w:r>
    </w:p>
    <w:p>
      <w:pPr>
        <w:spacing w:after="0" w:before="0" w:line="360" w:lineRule="auto"/>
        <w:ind w:firstLine="709"/>
        <w:jc w:val="both"/>
      </w:pPr>
      <w:r>
        <w:rPr>
          <w:rFonts w:ascii="Times New Roman" w:cs="Times New Roman" w:eastAsia="Times New Roman" w:hAnsi="Times New Roman"/>
          <w:color w:val="000000"/>
          <w:sz w:val="28"/>
          <w:szCs w:val="28"/>
        </w:rPr>
        <w:t xml:space="preserve">Настоящая выпускная квалификационная работа посвящена разработке модуля интеграции системы обнаружения сетевых вторжений в инфраструктуру IT-безопасности предприятия. В качестве обучающих данных используется международный эталонный набор данных NSL-KDD, а в качестве классификатора — алгоритм случайного леса (Random Forest, RF).</w:t>
      </w:r>
    </w:p>
    <w:p>
      <w:pPr>
        <w:spacing w:after="0" w:before="0" w:line="360" w:lineRule="auto"/>
        <w:ind w:firstLine="709"/>
        <w:jc w:val="both"/>
      </w:pPr>
      <w:r>
        <w:rPr>
          <w:rFonts w:ascii="Times New Roman" w:cs="Times New Roman" w:eastAsia="Times New Roman" w:hAnsi="Times New Roman"/>
          <w:color w:val="000000"/>
          <w:sz w:val="28"/>
          <w:szCs w:val="28"/>
        </w:rPr>
        <w:t xml:space="preserve">Актуальность темы обусловлена совокупностью факторов. Во-первых, число атак на критическую информационную инфраструктуру (КИИ) России в 2025 году выросло в четыре раза по сравнению с 2024 годом — об этом заявила руководитель Управления Президента по информационно-коммуникационным технологиям Татьяна Матвеева на заседании Совета безопасности [2]. Во-вторых, 76% критических кибератак в 2025 году были направлены на полное уничтожение IT-инфраструктуры предприятий, а суммы выкупов достигали рекордных 500 млн рублей [3]. В-третьих, Федеральный закон № 187-ФЗ «О безопасности критической информационной инфраструктуры Российской Федерации» обязывает субъектов КИИ внедрять сертифицированные средства обнаружения компьютерных атак [4].</w:t>
      </w:r>
    </w:p>
    <w:p>
      <w:pPr>
        <w:spacing w:after="0" w:before="0" w:line="360" w:lineRule="auto"/>
        <w:ind w:firstLine="709"/>
        <w:jc w:val="both"/>
      </w:pPr>
      <w:r>
        <w:rPr>
          <w:rFonts w:ascii="Times New Roman" w:cs="Times New Roman" w:eastAsia="Times New Roman" w:hAnsi="Times New Roman"/>
          <w:color w:val="000000"/>
          <w:sz w:val="28"/>
          <w:szCs w:val="28"/>
        </w:rPr>
        <w:t xml:space="preserve">Объект исследования — процесс обнаружения угроз сетевых вторжений в корпоративной IT-инфраструктуре предприятия.</w:t>
      </w:r>
    </w:p>
    <w:p>
      <w:pPr>
        <w:spacing w:after="0" w:before="0" w:line="360" w:lineRule="auto"/>
        <w:ind w:firstLine="709"/>
        <w:jc w:val="both"/>
      </w:pPr>
      <w:r>
        <w:rPr>
          <w:rFonts w:ascii="Times New Roman" w:cs="Times New Roman" w:eastAsia="Times New Roman" w:hAnsi="Times New Roman"/>
          <w:color w:val="000000"/>
          <w:sz w:val="28"/>
          <w:szCs w:val="28"/>
        </w:rPr>
        <w:t xml:space="preserve">Предмет исследования — методы и алгоритмы машинного обучения, применяемые для классификации сетевого трафика в задаче обнаружения вторжений на основе набора данных NSL-KDD.</w:t>
      </w:r>
    </w:p>
    <w:p>
      <w:pPr>
        <w:spacing w:after="0" w:before="0" w:line="360" w:lineRule="auto"/>
        <w:ind w:firstLine="709"/>
        <w:jc w:val="both"/>
      </w:pPr>
      <w:r>
        <w:rPr>
          <w:rFonts w:ascii="Times New Roman" w:cs="Times New Roman" w:eastAsia="Times New Roman" w:hAnsi="Times New Roman"/>
          <w:color w:val="000000"/>
          <w:sz w:val="28"/>
          <w:szCs w:val="28"/>
        </w:rPr>
        <w:t xml:space="preserve">Цель работы — разработка программного модуля интеграции системы обнаружения сетевых вторжений на базе алгоритма Random Forest, обученного на наборе данных NSL-KDD, с возможностью встраивания в существующую инфраструктуру безопасности предприятия через программный интерфейс REST API.</w:t>
      </w:r>
    </w:p>
    <w:p>
      <w:pPr>
        <w:spacing w:after="0" w:before="0" w:line="360" w:lineRule="auto"/>
        <w:ind w:firstLine="709"/>
        <w:jc w:val="both"/>
      </w:pPr>
      <w:r>
        <w:rPr>
          <w:rFonts w:ascii="Times New Roman" w:cs="Times New Roman" w:eastAsia="Times New Roman" w:hAnsi="Times New Roman"/>
          <w:color w:val="000000"/>
          <w:sz w:val="28"/>
          <w:szCs w:val="28"/>
        </w:rPr>
        <w:t xml:space="preserve">Для достижения поставленной цели решаются следующие задачи:</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анализ современного ландшафта киберугроз в России и обзор существующих IDS-решений;</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изучение структуры и характеристик набора данных NSL-KDD;</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сравнительный анализ методов машинного обучения для задачи классификации сетевого трафика;</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разработка и реализация модуля предобработки данных и обучения классификатора;</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реализация программного интерфейса REST API для интеграции модуля в систему IT-безопасности предприятия.</w:t>
      </w:r>
    </w:p>
    <w:p>
      <w:pPr>
        <w:spacing w:after="0" w:before="0" w:line="360" w:lineRule="auto"/>
        <w:ind w:firstLine="709"/>
        <w:jc w:val="both"/>
      </w:pPr>
      <w:r>
        <w:rPr>
          <w:rFonts w:ascii="Times New Roman" w:cs="Times New Roman" w:eastAsia="Times New Roman" w:hAnsi="Times New Roman"/>
          <w:color w:val="000000"/>
          <w:sz w:val="28"/>
          <w:szCs w:val="28"/>
        </w:rPr>
        <w:t xml:space="preserve">Теоретическую основу работы составляют труды в области машинного обучения, компьютерных сетей и информационной безопасности: работы Breiman L. [9], Tavallaee M. et al. [8], Ahmad Z. et al. [10], а также отечественные и зарубежные исследования применения методов ML для задач обнаружения вторжений [11–20].</w:t>
      </w:r>
    </w:p>
    <w:p>
      <w:pPr>
        <w:spacing w:after="0" w:before="0" w:line="360" w:lineRule="auto"/>
        <w:ind w:firstLine="709"/>
        <w:jc w:val="both"/>
      </w:pPr>
      <w:r>
        <w:rPr>
          <w:rFonts w:ascii="Times New Roman" w:cs="Times New Roman" w:eastAsia="Times New Roman" w:hAnsi="Times New Roman"/>
          <w:color w:val="000000"/>
          <w:sz w:val="28"/>
          <w:szCs w:val="28"/>
        </w:rPr>
        <w:t xml:space="preserve">Практическая значимость работы определяется тем, что разработанный модуль готов к развёртыванию на серверной инфраструктуре предприятия и совместим с российскими SIEM-системами (MaxPatrol SIEM, Kaspersky KUMA, Wazuh), а также с отечественными операционными системами — Astra Linux, РЕД ОС.</w:t>
      </w:r>
    </w:p>
    <w:p>
      <w:pPr>
        <w:pStyle w:val="Heading1"/>
      </w:pPr>
      <w:r>
        <w:rPr>
          <w:rFonts w:ascii="Times New Roman" w:cs="Times New Roman" w:eastAsia="Times New Roman" w:hAnsi="Times New Roman"/>
          <w:b/>
          <w:bCs/>
          <w:caps/>
          <w:color w:val="000000"/>
          <w:sz w:val="36"/>
          <w:szCs w:val="36"/>
        </w:rPr>
        <w:t xml:space="preserve">1 АНАЛИЗ ПРЕДМЕТНОЙ ОБЛАСТИ И ОБЗОР СУЩЕСТВУЮЩИХ РЕШЕНИЙ</w:t>
      </w:r>
    </w:p>
    <w:p>
      <w:pPr>
        <w:pStyle w:val="Heading2"/>
      </w:pPr>
      <w:r>
        <w:rPr>
          <w:rFonts w:ascii="Times New Roman" w:cs="Times New Roman" w:eastAsia="Times New Roman" w:hAnsi="Times New Roman"/>
          <w:b/>
          <w:bCs/>
          <w:color w:val="000000"/>
          <w:sz w:val="32"/>
          <w:szCs w:val="32"/>
        </w:rPr>
        <w:t xml:space="preserve">1.1 Актуальность проблемы обнаружения сетевых вторжений</w:t>
      </w:r>
    </w:p>
    <w:p>
      <w:pPr>
        <w:spacing w:after="0" w:before="0" w:line="360" w:lineRule="auto"/>
        <w:ind w:firstLine="709"/>
        <w:jc w:val="both"/>
      </w:pPr>
      <w:r>
        <w:rPr>
          <w:rFonts w:ascii="Times New Roman" w:cs="Times New Roman" w:eastAsia="Times New Roman" w:hAnsi="Times New Roman"/>
          <w:color w:val="000000"/>
          <w:sz w:val="28"/>
          <w:szCs w:val="28"/>
        </w:rPr>
        <w:t xml:space="preserve">Угрозы сетевой безопасности для российских предприятий приобрели качественно новый характер в 2025 году. Если ранее злоумышленники ограничивались кражей данных или временным выводом сервисов из строя, то в 2025 году акцент сместился на полное уничтожение IT-инфраструктуры: по данным компании «Инфосистемы Джет», 76% критических кибератак были направлены на разрушение инфраструктуры, а суммы выкупов достигали рекордных 500 млн рублей [3]. В числе жертв — «Аэрофлот» (атака хакерских группировок «Киберпартизаны BY» и Silent Crow повлекла отмену более 100 рейсов), аптечные сети «Неофарм» и «Столички», торговая сеть «ВинЛаб» (оценочный убыток — до 1,7 млрд рублей).</w:t>
      </w:r>
    </w:p>
    <w:p>
      <w:pPr>
        <w:spacing w:after="0" w:before="0" w:line="360" w:lineRule="auto"/>
        <w:ind w:firstLine="709"/>
        <w:jc w:val="both"/>
      </w:pPr>
      <w:r>
        <w:rPr>
          <w:rFonts w:ascii="Times New Roman" w:cs="Times New Roman" w:eastAsia="Times New Roman" w:hAnsi="Times New Roman"/>
          <w:color w:val="000000"/>
          <w:sz w:val="28"/>
          <w:szCs w:val="28"/>
        </w:rPr>
        <w:t xml:space="preserve">Число DDoS-атак в России по итогам 2025 года удвоилось: Роскомнадзор зафиксировал свыше 21 000 инцидентов. Наиболее пострадавшими отраслями стали телекоммуникации (34% всех DDoS-атак), финансовый сектор (21%) и ритейл (16%) [5]. По оценке аналитической компании BI.ZONE, средний ущерб от одного серьёзного инцидента для крупного российского предприятия составляет от 11 до 95 млн рублей с учётом прямых потерь, затрат на восстановление инфраструктуры и репутационных издержек [6].</w:t>
      </w:r>
    </w:p>
    <w:p>
      <w:pPr>
        <w:spacing w:after="0" w:before="0" w:line="360" w:lineRule="auto"/>
        <w:ind w:firstLine="709"/>
        <w:jc w:val="both"/>
      </w:pPr>
      <w:r>
        <w:rPr>
          <w:rFonts w:ascii="Times New Roman" w:cs="Times New Roman" w:eastAsia="Times New Roman" w:hAnsi="Times New Roman"/>
          <w:color w:val="000000"/>
          <w:sz w:val="28"/>
          <w:szCs w:val="28"/>
        </w:rPr>
        <w:t xml:space="preserve">Злоумышленники всё активнее применяют многоэтапные сценарии атак. По данным компании F6, в 2025 году российские предприятия атаковали 34 прогосударственные хакерские группировки. Первоначальная разведка сети (сканирование портов, зондирование — категория Probe по классификации NSL-KDD) предшествует несанкционированному доступу (Remote to Local, R2L), который в свою очередь завершается повышением привилегий (User to Root, U2R) и развёртыванием вредоносного программного обеспечения. Атаки через подрядчиков цепочки поставок за год выросли втрое [1].</w:t>
      </w:r>
    </w:p>
    <w:p>
      <w:pPr>
        <w:spacing w:after="0" w:before="0" w:line="360" w:lineRule="auto"/>
        <w:ind w:firstLine="709"/>
        <w:jc w:val="both"/>
      </w:pPr>
      <w:r>
        <w:rPr>
          <w:rFonts w:ascii="Times New Roman" w:cs="Times New Roman" w:eastAsia="Times New Roman" w:hAnsi="Times New Roman"/>
          <w:color w:val="000000"/>
          <w:sz w:val="28"/>
          <w:szCs w:val="28"/>
        </w:rPr>
        <w:t xml:space="preserve">Среднее время обнаружения вторжения собственными силами организации по-прежнему составляет более 200 дней, тогда как специализированные системы обнаружения сокращают этот показатель до нескольких минут [6]. Разница критическая: за 200 дней атакующий успевает скопировать данные, закрепиться в системе и нанести максимальный ущерб — именно так развивались атаки на «Аэрофлот» и аптечные сети в 2025 году.</w:t>
      </w:r>
    </w:p>
    <w:p>
      <w:pPr>
        <w:spacing w:after="0" w:before="0" w:line="360" w:lineRule="auto"/>
        <w:ind w:firstLine="709"/>
        <w:jc w:val="both"/>
      </w:pPr>
      <w:r>
        <w:rPr>
          <w:rFonts w:ascii="Times New Roman" w:cs="Times New Roman" w:eastAsia="Times New Roman" w:hAnsi="Times New Roman"/>
          <w:color w:val="000000"/>
          <w:sz w:val="28"/>
          <w:szCs w:val="28"/>
        </w:rPr>
        <w:t xml:space="preserve">Регуляторная среда дополнительно обязывает к внедрению IDS-решений. Федеральный закон № 187-ФЗ и подзаконные акты ФСТЭК России (приказы № 235 и № 239) требуют от субъектов КИИ внедрять средства обнаружения компьютерных атак и обеспечивать непрерывный мониторинг сетевого трафика [4]. Реестр отечественного программного обеспечения насчитывает более 40 сертифицированных IDS-продуктов российского производства, однако большинство из них основаны на устаревших сигнатурных методах, не способных выявлять атаки нулевого дня.</w:t>
      </w:r>
    </w:p>
    <w:p>
      <w:pPr>
        <w:spacing w:after="0" w:before="0" w:line="360" w:lineRule="auto"/>
        <w:ind w:firstLine="709"/>
        <w:jc w:val="both"/>
      </w:pPr>
      <w:r>
        <w:rPr>
          <w:rFonts w:ascii="Times New Roman" w:cs="Times New Roman" w:eastAsia="Times New Roman" w:hAnsi="Times New Roman"/>
          <w:color w:val="000000"/>
          <w:sz w:val="28"/>
          <w:szCs w:val="28"/>
        </w:rPr>
        <w:t xml:space="preserve">Таким образом, разработка интеллектуальных систем обнаружения вторжений на основе методов машинного обучения является актуальной задачей как с практической точки зрения — с учётом роста числа и сложности атак в 2025 году, — так и с регуляторной, в контексте требований 187-ФЗ и приказов ФСТЭК.</w:t>
      </w:r>
    </w:p>
    <w:p>
      <w:pPr>
        <w:pStyle w:val="Heading2"/>
      </w:pPr>
      <w:r>
        <w:rPr>
          <w:rFonts w:ascii="Times New Roman" w:cs="Times New Roman" w:eastAsia="Times New Roman" w:hAnsi="Times New Roman"/>
          <w:b/>
          <w:bCs/>
          <w:color w:val="000000"/>
          <w:sz w:val="32"/>
          <w:szCs w:val="32"/>
        </w:rPr>
        <w:t xml:space="preserve">1.2 Классификация и обзор систем обнаружения вторжений</w:t>
      </w:r>
    </w:p>
    <w:p>
      <w:pPr>
        <w:spacing w:after="0" w:before="0" w:line="360" w:lineRule="auto"/>
        <w:ind w:firstLine="709"/>
        <w:jc w:val="both"/>
      </w:pPr>
      <w:r>
        <w:rPr>
          <w:rFonts w:ascii="Times New Roman" w:cs="Times New Roman" w:eastAsia="Times New Roman" w:hAnsi="Times New Roman"/>
          <w:color w:val="000000"/>
          <w:sz w:val="28"/>
          <w:szCs w:val="28"/>
        </w:rPr>
        <w:t xml:space="preserve">Система обнаружения вторжений (Intrusion Detection System, IDS) — программный или программно-аппаратный комплекс, предназначенный для выявления несанкционированной активности в компьютерных сетях и на отдельных узлах путём анализа сетевого трафика, системных журналов и поведенческих паттернов [6]. IDS представляет собой пассивный инструмент наблюдения в отличие от системы предотвращения вторжений (Intrusion Prevention System, IPS), которая способна активно блокировать угрозы.</w:t>
      </w:r>
    </w:p>
    <w:p>
      <w:pPr>
        <w:pStyle w:val="Heading3"/>
      </w:pPr>
      <w:r>
        <w:rPr>
          <w:rFonts w:ascii="Times New Roman" w:cs="Times New Roman" w:eastAsia="Times New Roman" w:hAnsi="Times New Roman"/>
          <w:b/>
          <w:bCs/>
          <w:color w:val="000000"/>
          <w:sz w:val="28"/>
          <w:szCs w:val="28"/>
        </w:rPr>
        <w:t xml:space="preserve">1.2.1 Классификация IDS по месту развёртывания</w:t>
      </w:r>
    </w:p>
    <w:p>
      <w:pPr>
        <w:spacing w:after="0" w:before="0" w:line="360" w:lineRule="auto"/>
        <w:ind w:firstLine="709"/>
        <w:jc w:val="both"/>
      </w:pPr>
      <w:r>
        <w:rPr>
          <w:rFonts w:ascii="Times New Roman" w:cs="Times New Roman" w:eastAsia="Times New Roman" w:hAnsi="Times New Roman"/>
          <w:color w:val="000000"/>
          <w:sz w:val="28"/>
          <w:szCs w:val="28"/>
        </w:rPr>
        <w:t xml:space="preserve">По месту развёртывания IDS-системы подразделяются на два основных класса. Сетевые системы обнаружения вторжений (Network-based IDS, NIDS) размещаются в ключевых точках сетевой инфраструктуры — как правило, за межсетевым экраном или перед демилитаризованной зоной — и осуществляют анализ проходящего трафика в режиме прослушивания. Преимуществом NIDS является централизованный охват всех подключённых устройств без необходимости установки агентов. К недостаткам относятся сложность анализа зашифрованного трафика и возможные потери пакетов при высоком объёме. Примеры: Snort, Suricata, Zeek, PT NAD [7].</w:t>
      </w:r>
    </w:p>
    <w:p>
      <w:pPr>
        <w:spacing w:after="0" w:before="0" w:line="360" w:lineRule="auto"/>
        <w:ind w:firstLine="709"/>
        <w:jc w:val="both"/>
      </w:pPr>
      <w:r>
        <w:rPr>
          <w:rFonts w:ascii="Times New Roman" w:cs="Times New Roman" w:eastAsia="Times New Roman" w:hAnsi="Times New Roman"/>
          <w:color w:val="000000"/>
          <w:sz w:val="28"/>
          <w:szCs w:val="28"/>
        </w:rPr>
        <w:t xml:space="preserve">Хостовые системы обнаружения вторжений (Host-based IDS, HIDS) устанавливаются непосредственно на защищаемые узлы и анализируют события операционной системы: системные вызовы, целостность файловой системы, журналы приложений и активность пользователей. HIDS эффективны для выявления инсайдерских угроз и атак, обходящих сетевую защиту, однако требуют значительных ресурсов для развёртывания и сопровождения. Примеры: OSSEC, Wazuh, Kaspersky KATA (HIDS-компонент).</w:t>
      </w:r>
    </w:p>
    <w:p>
      <w:pPr>
        <w:pStyle w:val="Heading3"/>
      </w:pPr>
      <w:r>
        <w:rPr>
          <w:rFonts w:ascii="Times New Roman" w:cs="Times New Roman" w:eastAsia="Times New Roman" w:hAnsi="Times New Roman"/>
          <w:b/>
          <w:bCs/>
          <w:color w:val="000000"/>
          <w:sz w:val="28"/>
          <w:szCs w:val="28"/>
        </w:rPr>
        <w:t xml:space="preserve">1.2.2 Классификация IDS по методу обнаружения</w:t>
      </w:r>
    </w:p>
    <w:p>
      <w:pPr>
        <w:spacing w:after="0" w:before="0" w:line="360" w:lineRule="auto"/>
        <w:ind w:firstLine="709"/>
        <w:jc w:val="both"/>
      </w:pPr>
      <w:r>
        <w:rPr>
          <w:rFonts w:ascii="Times New Roman" w:cs="Times New Roman" w:eastAsia="Times New Roman" w:hAnsi="Times New Roman"/>
          <w:color w:val="000000"/>
          <w:sz w:val="28"/>
          <w:szCs w:val="28"/>
        </w:rPr>
        <w:t xml:space="preserve">Сигнатурный метод (misuse detection) основан на сравнении анализируемого трафика с базой известных паттернов атак. Метод обеспечивает высокую точность и низкий уровень ложных срабатываний для известных угроз. Принципиальный недостаток — полная неспособность обнаруживать атаки нулевого дня и требует постоянного обновления базы сигнатур, что предполагает участие квалифицированных специалистов. Отечественные системы ViPNet IDS и большинство сертифицированных ФСТЭК продуктов используют преимущественно этот подход [7].</w:t>
      </w:r>
    </w:p>
    <w:p>
      <w:pPr>
        <w:spacing w:after="0" w:before="0" w:line="360" w:lineRule="auto"/>
        <w:ind w:firstLine="709"/>
        <w:jc w:val="both"/>
      </w:pPr>
      <w:r>
        <w:rPr>
          <w:rFonts w:ascii="Times New Roman" w:cs="Times New Roman" w:eastAsia="Times New Roman" w:hAnsi="Times New Roman"/>
          <w:color w:val="000000"/>
          <w:sz w:val="28"/>
          <w:szCs w:val="28"/>
        </w:rPr>
        <w:t xml:space="preserve">Аномальный метод (anomaly detection) строится на создании модели нормального поведения сети и выявлении отклонений от неё. Метод способен обнаруживать ранее неизвестные атаки, реализующие новые техники и тактики. Главным недостатком является высокий уровень ложных срабатываний (false positives) на начальном этапе работы и необходимость длительного периода накопления обучающих данных. Алгоритмы машинного обучения являются ключевым инструментом реализации аномального метода [22].</w:t>
      </w:r>
    </w:p>
    <w:p>
      <w:pPr>
        <w:spacing w:after="0" w:before="0" w:line="360" w:lineRule="auto"/>
        <w:ind w:firstLine="709"/>
        <w:jc w:val="both"/>
      </w:pPr>
      <w:r>
        <w:rPr>
          <w:rFonts w:ascii="Times New Roman" w:cs="Times New Roman" w:eastAsia="Times New Roman" w:hAnsi="Times New Roman"/>
          <w:color w:val="000000"/>
          <w:sz w:val="28"/>
          <w:szCs w:val="28"/>
        </w:rPr>
        <w:t xml:space="preserve">Гибридный метод объединяет преимущества сигнатурного и аномального подходов, компенсируя их индивидуальные недостатки. Коммерческие решения класса NGIPS (Next Generation Intrusion Prevention System), такие как Kaspersky Anti Targeted Attack и PT Network Attack Discovery, реализуют именно этот подход [7].</w:t>
      </w:r>
    </w:p>
    <w:p>
      <w:pPr>
        <w:pStyle w:val="Heading3"/>
      </w:pPr>
      <w:r>
        <w:rPr>
          <w:rFonts w:ascii="Times New Roman" w:cs="Times New Roman" w:eastAsia="Times New Roman" w:hAnsi="Times New Roman"/>
          <w:b/>
          <w:bCs/>
          <w:color w:val="000000"/>
          <w:sz w:val="28"/>
          <w:szCs w:val="28"/>
        </w:rPr>
        <w:t xml:space="preserve">1.2.3 Обзор существующих IDS-решений</w:t>
      </w:r>
    </w:p>
    <w:p>
      <w:pPr>
        <w:spacing w:after="0" w:before="0" w:line="360" w:lineRule="auto"/>
        <w:ind w:firstLine="709"/>
        <w:jc w:val="both"/>
      </w:pPr>
      <w:r>
        <w:rPr>
          <w:rFonts w:ascii="Times New Roman" w:cs="Times New Roman" w:eastAsia="Times New Roman" w:hAnsi="Times New Roman"/>
          <w:color w:val="000000"/>
          <w:sz w:val="28"/>
          <w:szCs w:val="28"/>
        </w:rPr>
        <w:t xml:space="preserve">На российском рынке представлены как зарубежные open-source решения, так и отечественные коммерческие продукты. Сравнительный анализ основных решений приведён в Таблице 1.1.</w:t>
      </w:r>
    </w:p>
    <w:p>
      <w:pPr>
        <w:spacing w:after="0" w:before="85" w:line="240" w:lineRule="auto"/>
        <w:jc w:val="both"/>
      </w:pPr>
      <w:r>
        <w:rPr>
          <w:rFonts w:ascii="Times New Roman" w:cs="Times New Roman" w:eastAsia="Times New Roman" w:hAnsi="Times New Roman"/>
          <w:i/>
          <w:iCs/>
          <w:color w:val="000000"/>
          <w:sz w:val="24"/>
          <w:szCs w:val="24"/>
        </w:rPr>
        <w:t xml:space="preserve">Таблица 1.1 — Сравнительный анализ IDS-решений</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600"/>
        <w:gridCol w:w="1000"/>
        <w:gridCol w:w="1900"/>
        <w:gridCol w:w="1200"/>
        <w:gridCol w:w="1170"/>
      </w:tblGrid>
      <w:tr>
        <w:trPr>
          <w:tblHeader/>
        </w:trPr>
        <w:tc>
          <w:tcPr>
            <w:tcW w:type="dxa" w:w="13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Решение</w:t>
            </w:r>
          </w:p>
        </w:tc>
        <w:tc>
          <w:tcPr>
            <w:tcW w:type="dxa" w:w="9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Тип</w:t>
            </w:r>
          </w:p>
        </w:tc>
        <w:tc>
          <w:tcPr>
            <w:tcW w:type="dxa" w:w="16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Метод обнаружения</w:t>
            </w:r>
          </w:p>
        </w:tc>
        <w:tc>
          <w:tcPr>
            <w:tcW w:type="dxa" w:w="1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Произв.</w:t>
            </w:r>
          </w:p>
        </w:tc>
        <w:tc>
          <w:tcPr>
            <w:tcW w:type="dxa" w:w="19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Стоимость (ориент.)</w:t>
            </w:r>
          </w:p>
        </w:tc>
        <w:tc>
          <w:tcPr>
            <w:tcW w:type="dxa" w:w="12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Лицензия</w:t>
            </w:r>
          </w:p>
        </w:tc>
        <w:tc>
          <w:tcPr>
            <w:tcW w:type="dxa" w:w="11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ФСТЭК</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Snort 3</w:t>
            </w:r>
          </w:p>
        </w:tc>
        <w:tc>
          <w:tcPr>
            <w:tcW w:type="dxa" w:w="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NIDS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Сигнатурный + ML (SnortML)</w:t>
            </w:r>
          </w:p>
        </w:tc>
        <w:tc>
          <w:tcPr>
            <w:tcW w:type="dxa" w:w="1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Средняя</w:t>
            </w:r>
          </w:p>
        </w:tc>
        <w:tc>
          <w:tcPr>
            <w:tcW w:type="dxa" w:w="1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Бесплатно / 29 000 ₽/год</w:t>
            </w:r>
          </w:p>
        </w:tc>
        <w:tc>
          <w:tcPr>
            <w:tcW w:type="dxa" w:w="1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Open-source</w:t>
            </w:r>
          </w:p>
        </w:tc>
        <w:tc>
          <w:tcPr>
            <w:tcW w:type="dxa" w:w="11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Suricata 8</w:t>
            </w:r>
          </w:p>
        </w:tc>
        <w:tc>
          <w:tcPr>
            <w:tcW w:type="dxa" w:w="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NIDS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Сигнатурный + DPI</w:t>
            </w:r>
          </w:p>
        </w:tc>
        <w:tc>
          <w:tcPr>
            <w:tcW w:type="dxa" w:w="1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Высокая</w:t>
            </w:r>
          </w:p>
        </w:tc>
        <w:tc>
          <w:tcPr>
            <w:tcW w:type="dxa" w:w="1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Бесплатно</w:t>
            </w:r>
          </w:p>
        </w:tc>
        <w:tc>
          <w:tcPr>
            <w:tcW w:type="dxa" w:w="1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Open-source</w:t>
            </w:r>
          </w:p>
        </w:tc>
        <w:tc>
          <w:tcPr>
            <w:tcW w:type="dxa" w:w="11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Zeek</w:t>
            </w:r>
          </w:p>
        </w:tc>
        <w:tc>
          <w:tcPr>
            <w:tcW w:type="dxa" w:w="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NIDS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Поведенческий / скриптовый</w:t>
            </w:r>
          </w:p>
        </w:tc>
        <w:tc>
          <w:tcPr>
            <w:tcW w:type="dxa" w:w="1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Средняя</w:t>
            </w:r>
          </w:p>
        </w:tc>
        <w:tc>
          <w:tcPr>
            <w:tcW w:type="dxa" w:w="1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Бесплатно</w:t>
            </w:r>
          </w:p>
        </w:tc>
        <w:tc>
          <w:tcPr>
            <w:tcW w:type="dxa" w:w="1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Open-source</w:t>
            </w:r>
          </w:p>
        </w:tc>
        <w:tc>
          <w:tcPr>
            <w:tcW w:type="dxa" w:w="11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Wazuh</w:t>
            </w:r>
          </w:p>
        </w:tc>
        <w:tc>
          <w:tcPr>
            <w:tcW w:type="dxa" w:w="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HIDS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Гибридный (сигн. + аном.)</w:t>
            </w:r>
          </w:p>
        </w:tc>
        <w:tc>
          <w:tcPr>
            <w:tcW w:type="dxa" w:w="1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Средняя</w:t>
            </w:r>
          </w:p>
        </w:tc>
        <w:tc>
          <w:tcPr>
            <w:tcW w:type="dxa" w:w="1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Бесплатно</w:t>
            </w:r>
          </w:p>
        </w:tc>
        <w:tc>
          <w:tcPr>
            <w:tcW w:type="dxa" w:w="1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Open-source</w:t>
            </w:r>
          </w:p>
        </w:tc>
        <w:tc>
          <w:tcPr>
            <w:tcW w:type="dxa" w:w="11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PT NAD</w:t>
            </w:r>
          </w:p>
        </w:tc>
        <w:tc>
          <w:tcPr>
            <w:tcW w:type="dxa" w:w="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NIDS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Аномальный + ML</w:t>
            </w:r>
          </w:p>
        </w:tc>
        <w:tc>
          <w:tcPr>
            <w:tcW w:type="dxa" w:w="1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Высокая</w:t>
            </w:r>
          </w:p>
        </w:tc>
        <w:tc>
          <w:tcPr>
            <w:tcW w:type="dxa" w:w="1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от 1 200 000 ₽/год</w:t>
            </w:r>
          </w:p>
        </w:tc>
        <w:tc>
          <w:tcPr>
            <w:tcW w:type="dxa" w:w="1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Коммерческая</w:t>
            </w:r>
          </w:p>
        </w:tc>
        <w:tc>
          <w:tcPr>
            <w:tcW w:type="dxa" w:w="11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Да</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ViPNet IDS</w:t>
            </w:r>
          </w:p>
        </w:tc>
        <w:tc>
          <w:tcPr>
            <w:tcW w:type="dxa" w:w="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NIDS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Сигнатурный</w:t>
            </w:r>
          </w:p>
        </w:tc>
        <w:tc>
          <w:tcPr>
            <w:tcW w:type="dxa" w:w="1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Средняя</w:t>
            </w:r>
          </w:p>
        </w:tc>
        <w:tc>
          <w:tcPr>
            <w:tcW w:type="dxa" w:w="1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от 450 000 ₽</w:t>
            </w:r>
          </w:p>
        </w:tc>
        <w:tc>
          <w:tcPr>
            <w:tcW w:type="dxa" w:w="1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Коммерческая</w:t>
            </w:r>
          </w:p>
        </w:tc>
        <w:tc>
          <w:tcPr>
            <w:tcW w:type="dxa" w:w="11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Да</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Kaspersky KATA</w:t>
            </w:r>
          </w:p>
        </w:tc>
        <w:tc>
          <w:tcPr>
            <w:tcW w:type="dxa" w:w="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NIDS/HIDS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ML + сигн. + «песочница»</w:t>
            </w:r>
          </w:p>
        </w:tc>
        <w:tc>
          <w:tcPr>
            <w:tcW w:type="dxa" w:w="1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Высокая</w:t>
            </w:r>
          </w:p>
        </w:tc>
        <w:tc>
          <w:tcPr>
            <w:tcW w:type="dxa" w:w="19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от 2 500 000 ₽/год</w:t>
            </w:r>
          </w:p>
        </w:tc>
        <w:tc>
          <w:tcPr>
            <w:tcW w:type="dxa" w:w="1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Коммерческая</w:t>
            </w:r>
          </w:p>
        </w:tc>
        <w:tc>
          <w:tcPr>
            <w:tcW w:type="dxa" w:w="11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Да</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Среди зарубежных open-source решений наибольшее распространение получили Snort 3, Suricata 8 и Zeek. Snort разработан в 1998 году Мартином Рёшем и в настоящее время поддерживается компанией Cisco; это старейшая и наиболее известная NIDS с крупнейшим сообществом пользователей. Suricata превосходит Snort по производительности за счёт нативной многопоточности. Zeek — фреймворк для глубокого анализа трафика, ориентированный на threat hunting, а не активную блокировку [7, 21].</w:t>
      </w:r>
    </w:p>
    <w:p>
      <w:pPr>
        <w:spacing w:after="0" w:before="0" w:line="360" w:lineRule="auto"/>
        <w:ind w:firstLine="709"/>
        <w:jc w:val="both"/>
      </w:pPr>
      <w:r>
        <w:rPr>
          <w:rFonts w:ascii="Times New Roman" w:cs="Times New Roman" w:eastAsia="Times New Roman" w:hAnsi="Times New Roman"/>
          <w:color w:val="000000"/>
          <w:sz w:val="28"/>
          <w:szCs w:val="28"/>
        </w:rPr>
        <w:t xml:space="preserve">Среди российских продуктов, включённых в реестр отечественного ПО и сертифицированных ФСТЭК, выделяются три решения. PT Network Attack Discovery (PT NAD) компании Positive Technologies обеспечивает глубокий анализ трафика с применением ML; стоимость от 1 200 000 рублей в год. ViPNet IDS производства ИнфоТеКС реализует сигнатурный анализ и ориентирован на объекты КИИ; стоимость от 450 000 рублей. Kaspersky Anti Targeted Attack (KATA) применяет ML и «песочницу» для обнаружения целевых атак; ориентировочная стоимость — от 2 500 000 рублей в год [7].</w:t>
      </w:r>
    </w:p>
    <w:p>
      <w:pPr>
        <w:spacing w:after="0" w:before="0" w:line="360" w:lineRule="auto"/>
        <w:ind w:firstLine="709"/>
        <w:jc w:val="both"/>
      </w:pPr>
      <w:r>
        <w:rPr>
          <w:rFonts w:ascii="Times New Roman" w:cs="Times New Roman" w:eastAsia="Times New Roman" w:hAnsi="Times New Roman"/>
          <w:color w:val="000000"/>
          <w:sz w:val="28"/>
          <w:szCs w:val="28"/>
        </w:rPr>
        <w:t xml:space="preserve">Таким образом, существующие IDS-решения имеют два принципиальных ограничения: либо высокий стоимостной порог (коммерческие продукты), либо сигнатурная природа, не позволяющая выявлять новые угрозы. Применение методов машинного обучения позволяет устранить оба ограничения одновременно — автоматически выявлять аномалии без предварительно заданных сигнатур и без значительных лицензионных затрат.</w:t>
      </w:r>
    </w:p>
    <w:p>
      <w:pPr>
        <w:pStyle w:val="Heading2"/>
        <w:spacing w:before="240" w:after="0" w:line="360" w:lineRule="exact"/>
        <w:ind w:firstLine="709"/>
        <w:jc w:val="both"/>
      </w:pPr>
      <w:r>
        <w:rPr>
          <w:rFonts w:ascii="Times New Roman" w:hAnsi="Times New Roman"/>
          <w:b/>
          <w:color w:val="000000"/>
          <w:sz w:val="32"/>
        </w:rPr>
        <w:t>1.3 Анализ существующих аналогов и обоснование необходимости разработки</w:t>
      </w:r>
    </w:p>
    <w:p>
      <w:pPr>
        <w:spacing w:before="0" w:after="0" w:line="360" w:lineRule="exact"/>
        <w:ind w:firstLine="709"/>
        <w:jc w:val="both"/>
      </w:pPr>
      <w:r>
        <w:rPr>
          <w:rFonts w:ascii="Times New Roman" w:hAnsi="Times New Roman"/>
          <w:b w:val="0"/>
          <w:color w:val="000000"/>
          <w:sz w:val="28"/>
        </w:rPr>
        <w:t>Перед постановкой задачи разработки необходимо провести детальный анализ существующих решений в области обнаружения сетевых вторжений. Цель анализа — выявить принципиальные ограничения аналогов и обосновать, почему ни одно из доступных решений не удовлетворяет в полной мере потребностям российских предприятий, выявленным в разделе 1.1.</w:t>
      </w:r>
    </w:p>
    <w:p>
      <w:pPr>
        <w:pStyle w:val="Heading3"/>
        <w:spacing w:before="240" w:after="0" w:line="360" w:lineRule="exact"/>
        <w:ind w:firstLine="709"/>
        <w:jc w:val="both"/>
      </w:pPr>
      <w:r>
        <w:rPr>
          <w:rFonts w:ascii="Times New Roman" w:hAnsi="Times New Roman"/>
          <w:b/>
          <w:color w:val="000000"/>
          <w:sz w:val="28"/>
        </w:rPr>
        <w:t>1.3.1 Критерии сравнения аналогов</w:t>
      </w:r>
    </w:p>
    <w:p>
      <w:pPr>
        <w:spacing w:before="0" w:after="0" w:line="360" w:lineRule="exact"/>
        <w:ind w:firstLine="709"/>
        <w:jc w:val="both"/>
      </w:pPr>
      <w:r>
        <w:rPr>
          <w:rFonts w:ascii="Times New Roman" w:hAnsi="Times New Roman"/>
          <w:b w:val="0"/>
          <w:color w:val="000000"/>
          <w:sz w:val="28"/>
        </w:rPr>
        <w:t>Для объективного сравнения сформулированы следующие критерии, вытекающие из анализа актуального ландшафта киберугроз:</w:t>
      </w:r>
    </w:p>
    <w:p>
      <w:pPr>
        <w:pStyle w:val="ListParagraph"/>
        <w:spacing w:before="0" w:after="0" w:line="360" w:lineRule="exact"/>
        <w:ind w:left="709" w:hanging="709"/>
        <w:jc w:val="both"/>
      </w:pPr>
      <w:r>
        <w:rPr>
          <w:rFonts w:ascii="Times New Roman" w:hAnsi="Times New Roman"/>
          <w:b w:val="0"/>
          <w:color w:val="000000"/>
          <w:sz w:val="28"/>
        </w:rPr>
        <w:t>– обнаружение атак нулевого дня без предварительно заданных сигнатур — ключевое свойство для противодействия новым угрозам 2025 года;</w:t>
      </w:r>
    </w:p>
    <w:p>
      <w:pPr>
        <w:pStyle w:val="ListParagraph"/>
        <w:spacing w:before="0" w:after="0" w:line="360" w:lineRule="exact"/>
        <w:ind w:left="709" w:hanging="709"/>
        <w:jc w:val="both"/>
      </w:pPr>
      <w:r>
        <w:rPr>
          <w:rFonts w:ascii="Times New Roman" w:hAnsi="Times New Roman"/>
          <w:b w:val="0"/>
          <w:color w:val="000000"/>
          <w:sz w:val="28"/>
        </w:rPr>
        <w:t>– стоимость внедрения и эксплуатации — определяет доступность решения для предприятий различного масштаба;</w:t>
      </w:r>
    </w:p>
    <w:p>
      <w:pPr>
        <w:pStyle w:val="ListParagraph"/>
        <w:spacing w:before="0" w:after="0" w:line="360" w:lineRule="exact"/>
        <w:ind w:left="709" w:hanging="709"/>
        <w:jc w:val="both"/>
      </w:pPr>
      <w:r>
        <w:rPr>
          <w:rFonts w:ascii="Times New Roman" w:hAnsi="Times New Roman"/>
          <w:b w:val="0"/>
          <w:color w:val="000000"/>
          <w:sz w:val="28"/>
        </w:rPr>
        <w:t>– наличие сертификации ФСТЭК России — обязательное условие для субъектов КИИ по 187-ФЗ;</w:t>
      </w:r>
    </w:p>
    <w:p>
      <w:pPr>
        <w:pStyle w:val="ListParagraph"/>
        <w:spacing w:before="0" w:after="0" w:line="360" w:lineRule="exact"/>
        <w:ind w:left="709" w:hanging="709"/>
        <w:jc w:val="both"/>
      </w:pPr>
      <w:r>
        <w:rPr>
          <w:rFonts w:ascii="Times New Roman" w:hAnsi="Times New Roman"/>
          <w:b w:val="0"/>
          <w:color w:val="000000"/>
          <w:sz w:val="28"/>
        </w:rPr>
        <w:t>– совместимость с отечественными операционными системами (Astra Linux, РЕД ОС, ALT Linux);</w:t>
      </w:r>
    </w:p>
    <w:p>
      <w:pPr>
        <w:pStyle w:val="ListParagraph"/>
        <w:spacing w:before="0" w:after="0" w:line="360" w:lineRule="exact"/>
        <w:ind w:left="709" w:hanging="709"/>
        <w:jc w:val="both"/>
      </w:pPr>
      <w:r>
        <w:rPr>
          <w:rFonts w:ascii="Times New Roman" w:hAnsi="Times New Roman"/>
          <w:b w:val="0"/>
          <w:color w:val="000000"/>
          <w:sz w:val="28"/>
        </w:rPr>
        <w:t>– наличие открытого REST API для интеграции со сторонними SIEM-системами;</w:t>
      </w:r>
    </w:p>
    <w:p>
      <w:pPr>
        <w:pStyle w:val="ListParagraph"/>
        <w:spacing w:before="0" w:after="0" w:line="360" w:lineRule="exact"/>
        <w:ind w:left="709" w:hanging="709"/>
        <w:jc w:val="both"/>
      </w:pPr>
      <w:r>
        <w:rPr>
          <w:rFonts w:ascii="Times New Roman" w:hAnsi="Times New Roman"/>
          <w:b w:val="0"/>
          <w:color w:val="000000"/>
          <w:sz w:val="28"/>
        </w:rPr>
        <w:t>– интерпретируемость принятых решений — возможность объяснить оператору причину срабатывания;</w:t>
      </w:r>
    </w:p>
    <w:p>
      <w:pPr>
        <w:pStyle w:val="ListParagraph"/>
        <w:spacing w:before="0" w:after="0" w:line="360" w:lineRule="exact"/>
        <w:ind w:left="709" w:hanging="709"/>
        <w:jc w:val="both"/>
      </w:pPr>
      <w:r>
        <w:rPr>
          <w:rFonts w:ascii="Times New Roman" w:hAnsi="Times New Roman"/>
          <w:b w:val="0"/>
          <w:color w:val="000000"/>
          <w:sz w:val="28"/>
        </w:rPr>
        <w:t>– возможность дообучения на новых типах атак без обращения к вендору;</w:t>
      </w:r>
    </w:p>
    <w:p>
      <w:pPr>
        <w:pStyle w:val="ListParagraph"/>
        <w:spacing w:before="0" w:after="0" w:line="360" w:lineRule="exact"/>
        <w:ind w:left="709" w:hanging="709"/>
        <w:jc w:val="both"/>
      </w:pPr>
      <w:r>
        <w:rPr>
          <w:rFonts w:ascii="Times New Roman" w:hAnsi="Times New Roman"/>
          <w:b w:val="0"/>
          <w:color w:val="000000"/>
          <w:sz w:val="28"/>
        </w:rPr>
        <w:t>– тип анализируемых данных: сетевой трафик (NIDS) или события хоста (HIDS).</w:t>
      </w:r>
    </w:p>
    <w:p>
      <w:pPr>
        <w:spacing w:before="0" w:after="0" w:line="360" w:lineRule="exact"/>
        <w:ind w:firstLine="709"/>
        <w:jc w:val="both"/>
      </w:pPr>
      <w:r>
        <w:rPr>
          <w:rFonts w:ascii="Times New Roman" w:hAnsi="Times New Roman"/>
          <w:b w:val="0"/>
          <w:color w:val="000000"/>
          <w:sz w:val="28"/>
        </w:rPr>
        <w:t>Условные обозначения в Таблице 1.5: ✓ — соответствует критерию; ~ — частичное соответствие; ✗ — не соответствует.</w:t>
      </w:r>
    </w:p>
    <w:p>
      <w:pPr>
        <w:spacing w:before="120" w:after="0" w:line="240" w:lineRule="exact"/>
        <w:jc w:val="both"/>
      </w:pPr>
      <w:r>
        <w:rPr>
          <w:rFonts w:ascii="Times New Roman" w:hAnsi="Times New Roman"/>
          <w:i/>
          <w:color w:val="000000"/>
          <w:sz w:val="24"/>
        </w:rPr>
        <w:t>Таблица 1.5 — Сравнительный анализ аналогов и разработанного модуля</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W w:w="2550" w:type="dxa"/>
            <w:shd w:val="clear" w:color="auto" w:fill="D9D9D9"/>
            <w:tcMar>
              <w:top w:w="57" w:type="dxa"/>
              <w:bottom w:w="57" w:type="dxa"/>
              <w:left w:w="57" w:type="dxa"/>
              <w:right w:w="57" w:type="dxa"/>
            </w:tcMar>
          </w:tcPr>
          <w:p>
            <w:pPr>
              <w:spacing w:before="0" w:after="0" w:line="220" w:lineRule="exact"/>
              <w:jc w:val="center"/>
            </w:pPr>
            <w:r>
              <w:rPr>
                <w:rFonts w:ascii="Times New Roman" w:hAnsi="Times New Roman"/>
                <w:b/>
                <w:color w:val="000000"/>
                <w:sz w:val="22"/>
              </w:rPr>
              <w:t>Критерий</w:t>
            </w:r>
          </w:p>
        </w:tc>
        <w:tc>
          <w:tcPr>
            <w:tcW w:type="dxa" w:w="1440"/>
            <w:tcW w:w="1050" w:type="dxa"/>
            <w:shd w:val="clear" w:color="auto" w:fill="D9D9D9"/>
            <w:tcMar>
              <w:top w:w="57" w:type="dxa"/>
              <w:bottom w:w="57" w:type="dxa"/>
              <w:left w:w="57" w:type="dxa"/>
              <w:right w:w="57" w:type="dxa"/>
            </w:tcMar>
          </w:tcPr>
          <w:p>
            <w:pPr>
              <w:spacing w:before="0" w:after="0" w:line="220" w:lineRule="exact"/>
              <w:jc w:val="center"/>
            </w:pPr>
            <w:r>
              <w:rPr>
                <w:rFonts w:ascii="Times New Roman" w:hAnsi="Times New Roman"/>
                <w:b/>
                <w:color w:val="000000"/>
                <w:sz w:val="22"/>
              </w:rPr>
              <w:t>Snort /</w:t>
              <w:br/>
              <w:t>Suricata /</w:t>
              <w:br/>
              <w:t>ViPNet IDS</w:t>
            </w:r>
          </w:p>
        </w:tc>
        <w:tc>
          <w:tcPr>
            <w:tcW w:type="dxa" w:w="1440"/>
            <w:tcW w:w="1050" w:type="dxa"/>
            <w:shd w:val="clear" w:color="auto" w:fill="D9D9D9"/>
            <w:tcMar>
              <w:top w:w="57" w:type="dxa"/>
              <w:bottom w:w="57" w:type="dxa"/>
              <w:left w:w="57" w:type="dxa"/>
              <w:right w:w="57" w:type="dxa"/>
            </w:tcMar>
          </w:tcPr>
          <w:p>
            <w:pPr>
              <w:spacing w:before="0" w:after="0" w:line="220" w:lineRule="exact"/>
              <w:jc w:val="center"/>
            </w:pPr>
            <w:r>
              <w:rPr>
                <w:rFonts w:ascii="Times New Roman" w:hAnsi="Times New Roman"/>
                <w:b/>
                <w:color w:val="000000"/>
                <w:sz w:val="22"/>
              </w:rPr>
              <w:t>PT NAD</w:t>
            </w:r>
          </w:p>
        </w:tc>
        <w:tc>
          <w:tcPr>
            <w:tcW w:type="dxa" w:w="1440"/>
            <w:tcW w:w="1050" w:type="dxa"/>
            <w:shd w:val="clear" w:color="auto" w:fill="D9D9D9"/>
            <w:tcMar>
              <w:top w:w="57" w:type="dxa"/>
              <w:bottom w:w="57" w:type="dxa"/>
              <w:left w:w="57" w:type="dxa"/>
              <w:right w:w="57" w:type="dxa"/>
            </w:tcMar>
          </w:tcPr>
          <w:p>
            <w:pPr>
              <w:spacing w:before="0" w:after="0" w:line="220" w:lineRule="exact"/>
              <w:jc w:val="center"/>
            </w:pPr>
            <w:r>
              <w:rPr>
                <w:rFonts w:ascii="Times New Roman" w:hAnsi="Times New Roman"/>
                <w:b/>
                <w:color w:val="000000"/>
                <w:sz w:val="22"/>
              </w:rPr>
              <w:t>Kaspersky</w:t>
              <w:br/>
              <w:t>KATA</w:t>
            </w:r>
          </w:p>
        </w:tc>
        <w:tc>
          <w:tcPr>
            <w:tcW w:type="dxa" w:w="1440"/>
            <w:tcW w:w="1050" w:type="dxa"/>
            <w:shd w:val="clear" w:color="auto" w:fill="D9D9D9"/>
            <w:tcMar>
              <w:top w:w="57" w:type="dxa"/>
              <w:bottom w:w="57" w:type="dxa"/>
              <w:left w:w="57" w:type="dxa"/>
              <w:right w:w="57" w:type="dxa"/>
            </w:tcMar>
          </w:tcPr>
          <w:p>
            <w:pPr>
              <w:spacing w:before="0" w:after="0" w:line="220" w:lineRule="exact"/>
              <w:jc w:val="center"/>
            </w:pPr>
            <w:r>
              <w:rPr>
                <w:rFonts w:ascii="Times New Roman" w:hAnsi="Times New Roman"/>
                <w:b/>
                <w:color w:val="000000"/>
                <w:sz w:val="22"/>
              </w:rPr>
              <w:t>Wazuh</w:t>
            </w:r>
          </w:p>
        </w:tc>
        <w:tc>
          <w:tcPr>
            <w:tcW w:type="dxa" w:w="1440"/>
            <w:tcW w:w="2320" w:type="dxa"/>
            <w:shd w:val="clear" w:color="auto" w:fill="D9D9D9"/>
            <w:tcMar>
              <w:top w:w="57" w:type="dxa"/>
              <w:bottom w:w="57" w:type="dxa"/>
              <w:left w:w="57" w:type="dxa"/>
              <w:right w:w="57" w:type="dxa"/>
            </w:tcMar>
          </w:tcPr>
          <w:p>
            <w:pPr>
              <w:spacing w:before="0" w:after="0" w:line="220" w:lineRule="exact"/>
              <w:jc w:val="center"/>
            </w:pPr>
            <w:r>
              <w:rPr>
                <w:rFonts w:ascii="Times New Roman" w:hAnsi="Times New Roman"/>
                <w:b/>
                <w:color w:val="000000"/>
                <w:sz w:val="22"/>
              </w:rPr>
              <w:t>Разработанный</w:t>
              <w:br/>
              <w:t>модуль</w:t>
              <w:br/>
              <w:t>(настоящая работа)</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Обнаружение атак нулевого дня</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br/>
              <w:t>(только сигнатуры)</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Частично</w:t>
              <w:br/>
              <w:t>(ML+сигн.)</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Частично</w:t>
              <w:br/>
              <w:t>(ML+«песочница»)</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Частично</w:t>
              <w:br/>
              <w:t>(аномалии)</w:t>
            </w:r>
          </w:p>
        </w:tc>
        <w:tc>
          <w:tcPr>
            <w:tcW w:type="dxa" w:w="1440"/>
            <w:tcW w:w="232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br/>
              <w:t>(аномальный метод RF)</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Стоимость внедрения</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Бесплатно</w:t>
              <w:br/>
              <w:t>(без ML)</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от 1 200 000</w:t>
              <w:br/>
              <w:t>₽/год</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от 2 500 000</w:t>
              <w:br/>
              <w:t>₽/год</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Бесплатно</w:t>
              <w:br/>
              <w:t>(HIDS)</w:t>
            </w:r>
          </w:p>
        </w:tc>
        <w:tc>
          <w:tcPr>
            <w:tcW w:type="dxa" w:w="1440"/>
            <w:tcW w:w="232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0 рублей</w:t>
              <w:br/>
              <w:t>(open-source ML)</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Сертификат ФСТЭК России</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r>
          </w:p>
        </w:tc>
        <w:tc>
          <w:tcPr>
            <w:tcW w:type="dxa" w:w="1440"/>
            <w:tcW w:w="105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r>
          </w:p>
        </w:tc>
        <w:tc>
          <w:tcPr>
            <w:tcW w:type="dxa" w:w="1440"/>
            <w:tcW w:w="105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r>
          </w:p>
        </w:tc>
        <w:tc>
          <w:tcPr>
            <w:tcW w:type="dxa" w:w="1440"/>
            <w:tcW w:w="232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Не требуется</w:t>
              <w:br/>
              <w:t>(компонент интеграции)</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Совместимость с Astra Linux, РЕД ОС</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Частично</w:t>
              <w:br/>
              <w:t>(требует настройки)</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Ограниченно</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Ограниченно</w:t>
            </w:r>
          </w:p>
        </w:tc>
        <w:tc>
          <w:tcPr>
            <w:tcW w:type="dxa" w:w="1440"/>
            <w:tcW w:w="105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r>
          </w:p>
        </w:tc>
        <w:tc>
          <w:tcPr>
            <w:tcW w:type="dxa" w:w="1440"/>
            <w:tcW w:w="232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br/>
              <w:t>(Python, без</w:t>
              <w:br/>
              <w:t>бинарных зависимостей)</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Открытый REST API для интеграции с SIEM</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Проприетарный API</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Проприетарный API</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Частично</w:t>
              <w:br/>
              <w:t>(Wazuh API)</w:t>
            </w:r>
          </w:p>
        </w:tc>
        <w:tc>
          <w:tcPr>
            <w:tcW w:type="dxa" w:w="1440"/>
            <w:tcW w:w="232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br/>
              <w:t>(4 открытых эндпоинта)</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Интерпретируемость срабатывания</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br/>
              <w:t>(чёрный ящик)</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br/>
              <w:t>(чёрный ящик)</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r>
          </w:p>
        </w:tc>
        <w:tc>
          <w:tcPr>
            <w:tcW w:type="dxa" w:w="1440"/>
            <w:tcW w:w="232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br/>
              <w:t>(feature importance)</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Дообучение без участия вендора</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br/>
              <w:t>(обновление баз)</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br/>
              <w:t>(закрытый код)</w:t>
            </w:r>
          </w:p>
        </w:tc>
        <w:tc>
          <w:tcPr>
            <w:tcW w:type="dxa" w:w="1440"/>
            <w:tcW w:w="1050" w:type="dxa"/>
            <w:shd w:val="clear" w:color="auto" w:fill="FCE4D6"/>
            <w:tcMar>
              <w:top w:w="57" w:type="dxa"/>
              <w:bottom w:w="57" w:type="dxa"/>
              <w:left w:w="57" w:type="dxa"/>
              <w:right w:w="57" w:type="dxa"/>
            </w:tcMar>
          </w:tcPr>
          <w:p>
            <w:pPr>
              <w:spacing w:before="0" w:after="0" w:line="220" w:lineRule="exact"/>
              <w:jc w:val="center"/>
            </w:pPr>
            <w:r>
              <w:rPr>
                <w:rFonts w:ascii="Times New Roman" w:hAnsi="Times New Roman"/>
                <w:b w:val="0"/>
                <w:color w:val="9C0006"/>
                <w:sz w:val="22"/>
              </w:rPr>
              <w:t>✗ Нет</w:t>
              <w:br/>
              <w:t>(закрытый код)</w:t>
            </w:r>
          </w:p>
        </w:tc>
        <w:tc>
          <w:tcPr>
            <w:tcW w:type="dxa" w:w="1440"/>
            <w:tcW w:w="1050" w:type="dxa"/>
            <w:shd w:val="clear" w:color="auto" w:fill="FFEB9C"/>
            <w:tcMar>
              <w:top w:w="57" w:type="dxa"/>
              <w:bottom w:w="57" w:type="dxa"/>
              <w:left w:w="57" w:type="dxa"/>
              <w:right w:w="57" w:type="dxa"/>
            </w:tcMar>
          </w:tcPr>
          <w:p>
            <w:pPr>
              <w:spacing w:before="0" w:after="0" w:line="220" w:lineRule="exact"/>
              <w:jc w:val="center"/>
            </w:pPr>
            <w:r>
              <w:rPr>
                <w:rFonts w:ascii="Times New Roman" w:hAnsi="Times New Roman"/>
                <w:b w:val="0"/>
                <w:color w:val="9C5700"/>
                <w:sz w:val="22"/>
              </w:rPr>
              <w:t>~ Через правила</w:t>
            </w:r>
          </w:p>
        </w:tc>
        <w:tc>
          <w:tcPr>
            <w:tcW w:type="dxa" w:w="1440"/>
            <w:tcW w:w="2320" w:type="dxa"/>
            <w:shd w:val="clear" w:color="auto" w:fill="E2EFDA"/>
            <w:tcMar>
              <w:top w:w="57" w:type="dxa"/>
              <w:bottom w:w="57" w:type="dxa"/>
              <w:left w:w="57" w:type="dxa"/>
              <w:right w:w="57" w:type="dxa"/>
            </w:tcMar>
          </w:tcPr>
          <w:p>
            <w:pPr>
              <w:spacing w:before="0" w:after="0" w:line="220" w:lineRule="exact"/>
              <w:jc w:val="center"/>
            </w:pPr>
            <w:r>
              <w:rPr>
                <w:rFonts w:ascii="Times New Roman" w:hAnsi="Times New Roman"/>
                <w:b/>
                <w:color w:val="375623"/>
                <w:sz w:val="22"/>
              </w:rPr>
              <w:t>✓ Да</w:t>
              <w:br/>
              <w:t>(переобучение на новых данных)</w:t>
            </w:r>
          </w:p>
        </w:tc>
      </w:tr>
      <w:tr>
        <w:tc>
          <w:tcPr>
            <w:tcW w:type="dxa" w:w="1440"/>
            <w:tcW w:w="2550" w:type="dxa"/>
            <w:shd w:val="clear" w:color="auto" w:fill="FFFFFF"/>
            <w:tcMar>
              <w:top w:w="57" w:type="dxa"/>
              <w:bottom w:w="57" w:type="dxa"/>
              <w:left w:w="57" w:type="dxa"/>
              <w:right w:w="57" w:type="dxa"/>
            </w:tcMar>
          </w:tcPr>
          <w:p>
            <w:pPr>
              <w:spacing w:before="0" w:after="0" w:line="220" w:lineRule="exact"/>
              <w:jc w:val="left"/>
            </w:pPr>
            <w:r>
              <w:rPr>
                <w:rFonts w:ascii="Times New Roman" w:hAnsi="Times New Roman"/>
                <w:b w:val="0"/>
                <w:color w:val="000000"/>
                <w:sz w:val="22"/>
              </w:rPr>
              <w:t>Тип анализа</w:t>
            </w:r>
          </w:p>
        </w:tc>
        <w:tc>
          <w:tcPr>
            <w:tcW w:type="dxa" w:w="1440"/>
            <w:tcW w:w="1050" w:type="dxa"/>
            <w:shd w:val="clear" w:color="auto" w:fill="FFFFFF"/>
            <w:tcMar>
              <w:top w:w="57" w:type="dxa"/>
              <w:bottom w:w="57" w:type="dxa"/>
              <w:left w:w="57" w:type="dxa"/>
              <w:right w:w="57" w:type="dxa"/>
            </w:tcMar>
          </w:tcPr>
          <w:p>
            <w:pPr>
              <w:spacing w:before="0" w:after="0" w:line="220" w:lineRule="exact"/>
              <w:jc w:val="center"/>
            </w:pPr>
            <w:r>
              <w:rPr>
                <w:rFonts w:ascii="Times New Roman" w:hAnsi="Times New Roman"/>
                <w:b w:val="0"/>
                <w:color w:val="000000"/>
                <w:sz w:val="22"/>
              </w:rPr>
              <w:t>Сетевой трафик</w:t>
              <w:br/>
              <w:t>(NIDS)</w:t>
            </w:r>
          </w:p>
        </w:tc>
        <w:tc>
          <w:tcPr>
            <w:tcW w:type="dxa" w:w="1440"/>
            <w:tcW w:w="1050" w:type="dxa"/>
            <w:shd w:val="clear" w:color="auto" w:fill="FFFFFF"/>
            <w:tcMar>
              <w:top w:w="57" w:type="dxa"/>
              <w:bottom w:w="57" w:type="dxa"/>
              <w:left w:w="57" w:type="dxa"/>
              <w:right w:w="57" w:type="dxa"/>
            </w:tcMar>
          </w:tcPr>
          <w:p>
            <w:pPr>
              <w:spacing w:before="0" w:after="0" w:line="220" w:lineRule="exact"/>
              <w:jc w:val="center"/>
            </w:pPr>
            <w:r>
              <w:rPr>
                <w:rFonts w:ascii="Times New Roman" w:hAnsi="Times New Roman"/>
                <w:b w:val="0"/>
                <w:color w:val="000000"/>
                <w:sz w:val="22"/>
              </w:rPr>
              <w:t>Сетевой трафик</w:t>
              <w:br/>
              <w:t>(NIDS)</w:t>
            </w:r>
          </w:p>
        </w:tc>
        <w:tc>
          <w:tcPr>
            <w:tcW w:type="dxa" w:w="1440"/>
            <w:tcW w:w="1050" w:type="dxa"/>
            <w:shd w:val="clear" w:color="auto" w:fill="FFFFFF"/>
            <w:tcMar>
              <w:top w:w="57" w:type="dxa"/>
              <w:bottom w:w="57" w:type="dxa"/>
              <w:left w:w="57" w:type="dxa"/>
              <w:right w:w="57" w:type="dxa"/>
            </w:tcMar>
          </w:tcPr>
          <w:p>
            <w:pPr>
              <w:spacing w:before="0" w:after="0" w:line="220" w:lineRule="exact"/>
              <w:jc w:val="center"/>
            </w:pPr>
            <w:r>
              <w:rPr>
                <w:rFonts w:ascii="Times New Roman" w:hAnsi="Times New Roman"/>
                <w:b w:val="0"/>
                <w:color w:val="000000"/>
                <w:sz w:val="22"/>
              </w:rPr>
              <w:t>Трафик + хост</w:t>
              <w:br/>
              <w:t>(NIDS/HIDS)</w:t>
            </w:r>
          </w:p>
        </w:tc>
        <w:tc>
          <w:tcPr>
            <w:tcW w:type="dxa" w:w="1440"/>
            <w:tcW w:w="1050" w:type="dxa"/>
            <w:shd w:val="clear" w:color="auto" w:fill="FFFFFF"/>
            <w:tcMar>
              <w:top w:w="57" w:type="dxa"/>
              <w:bottom w:w="57" w:type="dxa"/>
              <w:left w:w="57" w:type="dxa"/>
              <w:right w:w="57" w:type="dxa"/>
            </w:tcMar>
          </w:tcPr>
          <w:p>
            <w:pPr>
              <w:spacing w:before="0" w:after="0" w:line="220" w:lineRule="exact"/>
              <w:jc w:val="center"/>
            </w:pPr>
            <w:r>
              <w:rPr>
                <w:rFonts w:ascii="Times New Roman" w:hAnsi="Times New Roman"/>
                <w:b w:val="0"/>
                <w:color w:val="000000"/>
                <w:sz w:val="22"/>
              </w:rPr>
              <w:t>Только хост</w:t>
              <w:br/>
              <w:t>(HIDS)</w:t>
            </w:r>
          </w:p>
        </w:tc>
        <w:tc>
          <w:tcPr>
            <w:tcW w:type="dxa" w:w="1440"/>
            <w:tcW w:w="2320" w:type="dxa"/>
            <w:shd w:val="clear" w:color="auto" w:fill="FFFFFF"/>
            <w:tcMar>
              <w:top w:w="57" w:type="dxa"/>
              <w:bottom w:w="57" w:type="dxa"/>
              <w:left w:w="57" w:type="dxa"/>
              <w:right w:w="57" w:type="dxa"/>
            </w:tcMar>
          </w:tcPr>
          <w:p>
            <w:pPr>
              <w:spacing w:before="0" w:after="0" w:line="220" w:lineRule="exact"/>
              <w:jc w:val="center"/>
            </w:pPr>
            <w:r>
              <w:rPr>
                <w:rFonts w:ascii="Times New Roman" w:hAnsi="Times New Roman"/>
                <w:b w:val="0"/>
                <w:color w:val="000000"/>
                <w:sz w:val="22"/>
              </w:rPr>
              <w:t>Сетевой трафик NIDS</w:t>
              <w:br/>
              <w:t>(признаки NSL-KDD)</w:t>
            </w:r>
          </w:p>
        </w:tc>
      </w:tr>
    </w:tbl>
    <w:p>
      <w:pPr>
        <w:spacing w:before="0" w:after="0" w:line="360" w:lineRule="exact"/>
        <w:ind w:firstLine="709"/>
        <w:jc w:val="both"/>
      </w:pPr>
      <w:r>
        <w:rPr>
          <w:rFonts w:ascii="Times New Roman" w:hAnsi="Times New Roman"/>
          <w:b w:val="0"/>
          <w:color w:val="000000"/>
          <w:sz w:val="28"/>
        </w:rPr>
        <w:t>Анализ Таблицы 1.5 показывает, что ни один из рассмотренных аналогов не обеспечивает одновременно все восемь критериев. Разработанный модуль — единственное из рассмотренных решений, соответствующее шести из восьми критериев, включая наиболее критичные для современных угроз.</w:t>
      </w:r>
    </w:p>
    <w:p>
      <w:pPr>
        <w:pStyle w:val="Heading3"/>
        <w:spacing w:before="240" w:after="0" w:line="360" w:lineRule="exact"/>
        <w:ind w:firstLine="709"/>
        <w:jc w:val="both"/>
      </w:pPr>
      <w:r>
        <w:rPr>
          <w:rFonts w:ascii="Times New Roman" w:hAnsi="Times New Roman"/>
          <w:b/>
          <w:color w:val="000000"/>
          <w:sz w:val="28"/>
        </w:rPr>
        <w:t>1.3.2 Ограничения сигнатурных систем (Snort, Suricata, ViPNet IDS)</w:t>
      </w:r>
    </w:p>
    <w:p>
      <w:pPr>
        <w:spacing w:before="0" w:after="0" w:line="360" w:lineRule="exact"/>
        <w:ind w:firstLine="709"/>
        <w:jc w:val="both"/>
      </w:pPr>
      <w:r>
        <w:rPr>
          <w:rFonts w:ascii="Times New Roman" w:hAnsi="Times New Roman"/>
          <w:b w:val="0"/>
          <w:color w:val="000000"/>
          <w:sz w:val="28"/>
        </w:rPr>
        <w:t>Системы Snort 3, Suricata 8 и ViPNet IDS реализуют преимущественно сигнатурный метод обнаружения вторжений. Принципиальное ограничение данного подхода состоит в том, что атака обнаруживается только если её паттерн заблаговременно описан в базе правил. В 2025 году российские организации атаковали 34 прогосударственные хакерские группировки, регулярно применяющие новые техники и тактики [7]. Среднее время между появлением новой техники атаки и выпуском соответствующей сигнатуры составляет от нескольких дней до нескольких недель [6].</w:t>
      </w:r>
    </w:p>
    <w:p>
      <w:pPr>
        <w:spacing w:before="0" w:after="0" w:line="360" w:lineRule="exact"/>
        <w:ind w:firstLine="709"/>
        <w:jc w:val="both"/>
      </w:pPr>
      <w:r>
        <w:rPr>
          <w:rFonts w:ascii="Times New Roman" w:hAnsi="Times New Roman"/>
          <w:b w:val="0"/>
          <w:color w:val="000000"/>
          <w:sz w:val="28"/>
        </w:rPr>
        <w:t>Разработанный модуль устраняет данное ограничение: алгоритм Random Forest обнаруживает аномалии в характеристиках сетевых соединений без необходимости явного описания каждого типа атаки. При появлении новых данных модель дообучается без участия вендора командой python main.py --mode train с обновлённой обучающей выборкой.</w:t>
      </w:r>
    </w:p>
    <w:p>
      <w:pPr>
        <w:spacing w:before="0" w:after="0" w:line="360" w:lineRule="exact"/>
        <w:ind w:firstLine="709"/>
        <w:jc w:val="both"/>
      </w:pPr>
      <w:r>
        <w:rPr>
          <w:rFonts w:ascii="Times New Roman" w:hAnsi="Times New Roman"/>
          <w:b w:val="0"/>
          <w:color w:val="000000"/>
          <w:sz w:val="28"/>
        </w:rPr>
        <w:t>ViPNet IDS производства ИнфоТеКС располагает сертификатом ФСТЭК России, однако реализует исключительно сигнатурный анализ и не предоставляет открытого API для интеграции со сторонними системами. Стоимость лицензии от 450 000 рублей делает решение недоступным для предприятий малого и среднего бизнеса.</w:t>
      </w:r>
    </w:p>
    <w:p>
      <w:pPr>
        <w:pStyle w:val="Heading3"/>
        <w:spacing w:before="240" w:after="0" w:line="360" w:lineRule="exact"/>
        <w:ind w:firstLine="709"/>
        <w:jc w:val="both"/>
      </w:pPr>
      <w:r>
        <w:rPr>
          <w:rFonts w:ascii="Times New Roman" w:hAnsi="Times New Roman"/>
          <w:b/>
          <w:color w:val="000000"/>
          <w:sz w:val="28"/>
        </w:rPr>
        <w:t>1.3.3 Ограничения коммерческих ML-решений (PT NAD, Kaspersky KATA)</w:t>
      </w:r>
    </w:p>
    <w:p>
      <w:pPr>
        <w:spacing w:before="0" w:after="0" w:line="360" w:lineRule="exact"/>
        <w:ind w:firstLine="709"/>
        <w:jc w:val="both"/>
      </w:pPr>
      <w:r>
        <w:rPr>
          <w:rFonts w:ascii="Times New Roman" w:hAnsi="Times New Roman"/>
          <w:b w:val="0"/>
          <w:color w:val="000000"/>
          <w:sz w:val="28"/>
        </w:rPr>
        <w:t>Системы PT Network Attack Discovery и Kaspersky Anti Targeted Attack применяют алгоритмы машинного обучения и способны частично обнаруживать атаки нулевого дня. Однако они обладают тремя принципиальными ограничениями.</w:t>
      </w:r>
    </w:p>
    <w:p>
      <w:pPr>
        <w:spacing w:before="0" w:after="0" w:line="360" w:lineRule="exact"/>
        <w:ind w:firstLine="709"/>
        <w:jc w:val="both"/>
      </w:pPr>
      <w:r>
        <w:rPr>
          <w:rFonts w:ascii="Times New Roman" w:hAnsi="Times New Roman"/>
          <w:b w:val="0"/>
          <w:color w:val="000000"/>
          <w:sz w:val="28"/>
        </w:rPr>
        <w:t>Первое — высокая стоимость. Лицензионные отчисления составляют от 1 200 000 рублей в год (PT NAD) и от 2 500 000 рублей в год (Kaspersky KATA). Большинство российских предприятий малого и среднего бизнеса не располагают такими бюджетами на инструменты кибербезопасности. Разработанный модуль построен на библиотеках с лицензиями BSD, MIT и Apache 2.0 — стоимость внедрения составляет 0 рублей.</w:t>
      </w:r>
    </w:p>
    <w:p>
      <w:pPr>
        <w:spacing w:before="0" w:after="0" w:line="360" w:lineRule="exact"/>
        <w:ind w:firstLine="709"/>
        <w:jc w:val="both"/>
      </w:pPr>
      <w:r>
        <w:rPr>
          <w:rFonts w:ascii="Times New Roman" w:hAnsi="Times New Roman"/>
          <w:b w:val="0"/>
          <w:color w:val="000000"/>
          <w:sz w:val="28"/>
        </w:rPr>
        <w:t>Второе — закрытость алгоритмов принятия решений. Оператор системы безопасности получает только результат классификации без возможности понять, какие именно признаки трафика привели к такому выводу. В разработанном модуле алгоритм Random Forest обеспечивает полную интерпретируемость: метод feature_importances_ ранжирует все 41 признак NSL-KDD по степени влияния на классификацию. Аналитик безопасности видит не только факт атаки, но и конкретные характеристики трафика, идентифицировавшие её.</w:t>
      </w:r>
    </w:p>
    <w:p>
      <w:pPr>
        <w:spacing w:before="0" w:after="0" w:line="360" w:lineRule="exact"/>
        <w:ind w:firstLine="709"/>
        <w:jc w:val="both"/>
      </w:pPr>
      <w:r>
        <w:rPr>
          <w:rFonts w:ascii="Times New Roman" w:hAnsi="Times New Roman"/>
          <w:b w:val="0"/>
          <w:color w:val="000000"/>
          <w:sz w:val="28"/>
        </w:rPr>
        <w:t>Третье — ограниченная совместимость с отечественными операционными системами. Поддержка Astra Linux Special Edition и РЕД ОС реализована в ограниченном объёме и требует дополнительных настроек. Разработанный модуль написан на Python 3.10 и использует кроссплатформенные библиотеки без бинарных зависимостей — установка на любой отечественной Linux-системе выполняется одной командой: pip install -r requirements.txt.</w:t>
      </w:r>
    </w:p>
    <w:p>
      <w:pPr>
        <w:pStyle w:val="Heading3"/>
        <w:spacing w:before="240" w:after="0" w:line="360" w:lineRule="exact"/>
        <w:ind w:firstLine="709"/>
        <w:jc w:val="both"/>
      </w:pPr>
      <w:r>
        <w:rPr>
          <w:rFonts w:ascii="Times New Roman" w:hAnsi="Times New Roman"/>
          <w:b/>
          <w:color w:val="000000"/>
          <w:sz w:val="28"/>
        </w:rPr>
        <w:t>1.3.4 Ограничения гибридной open-source системы Wazuh</w:t>
      </w:r>
    </w:p>
    <w:p>
      <w:pPr>
        <w:spacing w:before="0" w:after="0" w:line="360" w:lineRule="exact"/>
        <w:ind w:firstLine="709"/>
        <w:jc w:val="both"/>
      </w:pPr>
      <w:r>
        <w:rPr>
          <w:rFonts w:ascii="Times New Roman" w:hAnsi="Times New Roman"/>
          <w:b w:val="0"/>
          <w:color w:val="000000"/>
          <w:sz w:val="28"/>
        </w:rPr>
        <w:t>Система Wazuh бесплатна, поставляется с открытым исходным кодом и поддерживает интеграцию с различными SIEM-платформами. Однако Wazuh реализует архитектуру HIDS: агент устанавливается на каждый защищаемый хост и анализирует локальные события — системные журналы, целостность файлов, активность процессов. Сетевой трафик на уровне TCP/IP-соединений Wazuh не анализирует.</w:t>
      </w:r>
    </w:p>
    <w:p>
      <w:pPr>
        <w:spacing w:before="0" w:after="0" w:line="360" w:lineRule="exact"/>
        <w:ind w:firstLine="709"/>
        <w:jc w:val="both"/>
      </w:pPr>
      <w:r>
        <w:rPr>
          <w:rFonts w:ascii="Times New Roman" w:hAnsi="Times New Roman"/>
          <w:b w:val="0"/>
          <w:color w:val="000000"/>
          <w:sz w:val="28"/>
        </w:rPr>
        <w:t>Разработанный модуль реализует сетевую систему обнаружения вторжений (NIDS): анализирует характеристики сетевых соединений на основе 41 признака NSL-KDD. При этом модуль не исключает Wazuh, а дополняет его: совместное применение NIDS (данная разработка) и HIDS (Wazuh) обеспечивает комплексную многоуровневую защиту. Именно поэтому Wazuh включён в перечень SIEM-систем, с которыми обеспечена интеграция через REST API.</w:t>
      </w:r>
    </w:p>
    <w:p>
      <w:pPr>
        <w:pStyle w:val="Heading3"/>
        <w:spacing w:before="240" w:after="0" w:line="360" w:lineRule="exact"/>
        <w:ind w:firstLine="709"/>
        <w:jc w:val="both"/>
      </w:pPr>
      <w:r>
        <w:rPr>
          <w:rFonts w:ascii="Times New Roman" w:hAnsi="Times New Roman"/>
          <w:b/>
          <w:color w:val="000000"/>
          <w:sz w:val="28"/>
        </w:rPr>
        <w:t>1.3.5 Итоговый вывод и обоснование разработки</w:t>
      </w:r>
    </w:p>
    <w:p>
      <w:pPr>
        <w:spacing w:before="0" w:after="0" w:line="360" w:lineRule="exact"/>
        <w:ind w:firstLine="709"/>
        <w:jc w:val="both"/>
      </w:pPr>
      <w:r>
        <w:rPr>
          <w:rFonts w:ascii="Times New Roman" w:hAnsi="Times New Roman"/>
          <w:b w:val="0"/>
          <w:color w:val="000000"/>
          <w:sz w:val="28"/>
        </w:rPr>
        <w:t>Проведённый анализ показывает, что существующие решения не удовлетворяют одновременно всем ключевым критериям. Сигнатурные системы не обнаруживают новые угрозы; коммерческие ML-решения недоступны по цене, непрозрачны и слабо совместимы с отечественной инфраструктурой; Wazuh ограничен анализом хостовых событий и не анализирует сетевой трафик. Разработанный программный модуль устраняет перечисленные ограничения:</w:t>
      </w:r>
    </w:p>
    <w:p>
      <w:pPr>
        <w:pStyle w:val="ListParagraph"/>
        <w:spacing w:before="0" w:after="0" w:line="360" w:lineRule="exact"/>
        <w:ind w:left="709" w:hanging="709"/>
        <w:jc w:val="both"/>
      </w:pPr>
      <w:r>
        <w:rPr>
          <w:rFonts w:ascii="Times New Roman" w:hAnsi="Times New Roman"/>
          <w:b w:val="0"/>
          <w:color w:val="000000"/>
          <w:sz w:val="28"/>
        </w:rPr>
        <w:t>– использует машинное обучение (Random Forest) для обнаружения аномалий без предварительно заданных сигнатур;</w:t>
      </w:r>
    </w:p>
    <w:p>
      <w:pPr>
        <w:pStyle w:val="ListParagraph"/>
        <w:spacing w:before="0" w:after="0" w:line="360" w:lineRule="exact"/>
        <w:ind w:left="709" w:hanging="709"/>
        <w:jc w:val="both"/>
      </w:pPr>
      <w:r>
        <w:rPr>
          <w:rFonts w:ascii="Times New Roman" w:hAnsi="Times New Roman"/>
          <w:b w:val="0"/>
          <w:color w:val="000000"/>
          <w:sz w:val="28"/>
        </w:rPr>
        <w:t>– построен на открытых библиотеках — стоимость внедрения составляет 0 рублей;</w:t>
      </w:r>
    </w:p>
    <w:p>
      <w:pPr>
        <w:pStyle w:val="ListParagraph"/>
        <w:spacing w:before="0" w:after="0" w:line="360" w:lineRule="exact"/>
        <w:ind w:left="709" w:hanging="709"/>
        <w:jc w:val="both"/>
      </w:pPr>
      <w:r>
        <w:rPr>
          <w:rFonts w:ascii="Times New Roman" w:hAnsi="Times New Roman"/>
          <w:b w:val="0"/>
          <w:color w:val="000000"/>
          <w:sz w:val="28"/>
        </w:rPr>
        <w:t>– обеспечивает интерпретируемость решений через ранжирование важности признаков (feature importance);</w:t>
      </w:r>
    </w:p>
    <w:p>
      <w:pPr>
        <w:pStyle w:val="ListParagraph"/>
        <w:spacing w:before="0" w:after="0" w:line="360" w:lineRule="exact"/>
        <w:ind w:left="709" w:hanging="709"/>
        <w:jc w:val="both"/>
      </w:pPr>
      <w:r>
        <w:rPr>
          <w:rFonts w:ascii="Times New Roman" w:hAnsi="Times New Roman"/>
          <w:b w:val="0"/>
          <w:color w:val="000000"/>
          <w:sz w:val="28"/>
        </w:rPr>
        <w:t>– поддерживает дообучение на новых данных без участия сторонних поставщиков;</w:t>
      </w:r>
    </w:p>
    <w:p>
      <w:pPr>
        <w:pStyle w:val="ListParagraph"/>
        <w:spacing w:before="0" w:after="0" w:line="360" w:lineRule="exact"/>
        <w:ind w:left="709" w:hanging="709"/>
        <w:jc w:val="both"/>
      </w:pPr>
      <w:r>
        <w:rPr>
          <w:rFonts w:ascii="Times New Roman" w:hAnsi="Times New Roman"/>
          <w:b w:val="0"/>
          <w:color w:val="000000"/>
          <w:sz w:val="28"/>
        </w:rPr>
        <w:t>– совместим с отечественными операционными системами Astra Linux, РЕД ОС, ALT Linux;</w:t>
      </w:r>
    </w:p>
    <w:p>
      <w:pPr>
        <w:pStyle w:val="ListParagraph"/>
        <w:spacing w:before="0" w:after="0" w:line="360" w:lineRule="exact"/>
        <w:ind w:left="709" w:hanging="709"/>
        <w:jc w:val="both"/>
      </w:pPr>
      <w:r>
        <w:rPr>
          <w:rFonts w:ascii="Times New Roman" w:hAnsi="Times New Roman"/>
          <w:b w:val="0"/>
          <w:color w:val="000000"/>
          <w:sz w:val="28"/>
        </w:rPr>
        <w:t>– предоставляет открытый REST API с четырьмя эндпоинтами для интеграции с MaxPatrol SIEM, Kaspersky KUMA и Wazuh.</w:t>
      </w:r>
    </w:p>
    <w:p>
      <w:pPr>
        <w:spacing w:before="0" w:after="0" w:line="360" w:lineRule="exact"/>
        <w:ind w:firstLine="709"/>
        <w:jc w:val="both"/>
      </w:pPr>
      <w:r>
        <w:rPr>
          <w:rFonts w:ascii="Times New Roman" w:hAnsi="Times New Roman"/>
          <w:b w:val="0"/>
          <w:color w:val="000000"/>
          <w:sz w:val="28"/>
        </w:rPr>
        <w:t>Таким образом, разработка программного модуля является обоснованной с практической и экономической точек зрения и направлена на устранение конкретных недостатков всех рассмотренных аналогов. Сформулированные выводы служат основой для постановки задачи и формирования требований, изложенных во второй главе.</w:t>
      </w:r>
    </w:p>
    <w:p>
      <w:pPr>
        <w:pStyle w:val="Heading2"/>
      </w:pPr>
      <w:r>
        <w:rPr>
          <w:rFonts w:ascii="Times New Roman" w:cs="Times New Roman" w:eastAsia="Times New Roman" w:hAnsi="Times New Roman"/>
          <w:b/>
          <w:bCs/>
          <w:color w:val="000000"/>
          <w:sz w:val="32"/>
          <w:szCs w:val="32"/>
        </w:rPr>
        <w:t>1.4 Набор данных NSL-KDD как эталон для оценки IDS</w:t>
      </w:r>
    </w:p>
    <w:p>
      <w:pPr>
        <w:pStyle w:val="Heading3"/>
      </w:pPr>
      <w:r>
        <w:rPr>
          <w:rFonts w:ascii="Times New Roman" w:cs="Times New Roman" w:eastAsia="Times New Roman" w:hAnsi="Times New Roman"/>
          <w:b/>
          <w:bCs/>
          <w:color w:val="000000"/>
          <w:sz w:val="28"/>
          <w:szCs w:val="28"/>
        </w:rPr>
        <w:t>1.4.1 История создания и обоснование выбора</w:t>
      </w:r>
    </w:p>
    <w:p>
      <w:pPr>
        <w:spacing w:after="0" w:before="0" w:line="360" w:lineRule="auto"/>
        <w:ind w:firstLine="709"/>
        <w:jc w:val="both"/>
      </w:pPr>
      <w:r>
        <w:rPr>
          <w:rFonts w:ascii="Times New Roman" w:cs="Times New Roman" w:eastAsia="Times New Roman" w:hAnsi="Times New Roman"/>
          <w:color w:val="000000"/>
          <w:sz w:val="28"/>
          <w:szCs w:val="28"/>
        </w:rPr>
        <w:t xml:space="preserve">Оценка систем обнаружения вторжений требует наличия стандартизованных наборов данных, обеспечивающих воспроизводимость экспериментов и сопоставимость результатов различных исследований. Исторически ключевую роль играл набор данных KDD Cup 1999 (KDD'99), подготовленный на основе программы оценки IDS Массачусетского технологического института DARPA 1998 года. Набор содержал около 4,9 млн записей сетевых соединений с 41 признаком каждая и применялся в качестве эталона на протяжении более десяти лет.</w:t>
      </w:r>
    </w:p>
    <w:p>
      <w:pPr>
        <w:spacing w:after="0" w:before="0" w:line="360" w:lineRule="auto"/>
        <w:ind w:firstLine="709"/>
        <w:jc w:val="both"/>
      </w:pPr>
      <w:r>
        <w:rPr>
          <w:rFonts w:ascii="Times New Roman" w:cs="Times New Roman" w:eastAsia="Times New Roman" w:hAnsi="Times New Roman"/>
          <w:color w:val="000000"/>
          <w:sz w:val="28"/>
          <w:szCs w:val="28"/>
        </w:rPr>
        <w:t xml:space="preserve">Однако в 2009 году исследователи Университета Нью-Брансуика (Канада) — Mahbod Tavallaee, Ebrahim Bagheri, Wei Lu и Ali A. Ghorbani — опубликовали работу «A Detailed Analysis of the KDD CUP 99 Data Set» [8], в которой выявили критические недостатки оригинального набора. Главная проблема: около 78% записей обучающей выборки являлись дубликатами, что приводило к смещению классификаторов в сторону наиболее частых паттернов и делало объективное сравнение методов невозможным. Предложенный авторами набор NSL-KDD устраняет перечисленные недостатки. По состоянию на 2025 год публикация Tavallaee et al. цитируется более 4 500 раз и является одной из наиболее часто ссылаемых работ в области IDS [8].</w:t>
      </w:r>
    </w:p>
    <w:p>
      <w:pPr>
        <w:spacing w:after="0" w:before="0" w:line="360" w:lineRule="auto"/>
        <w:ind w:firstLine="709"/>
        <w:jc w:val="both"/>
      </w:pPr>
      <w:r>
        <w:rPr>
          <w:rFonts w:ascii="Times New Roman" w:cs="Times New Roman" w:eastAsia="Times New Roman" w:hAnsi="Times New Roman"/>
          <w:color w:val="000000"/>
          <w:sz w:val="28"/>
          <w:szCs w:val="28"/>
        </w:rPr>
        <w:t xml:space="preserve">Выбор NSL-KDD для настоящей работы обусловлен четырьмя соображениями. Во-первых, это международный научный стандарт, результаты на котором сопоставимы с данными более 500 опубликованных исследований [10]. Во-вторых, механизм атак типа DoS, Probe, R2L и U2R не имеет географической специфики — те же техники применяются против российских предприятий в 2025 году, что подтверждается отчётами RED Security SOC и данными Совета безопасности РФ [1, 2]. В-третьих, набор достаточен по объёму для обучения качественных ML-моделей без кластерных вычислений. В-четвёртых, он свободно доступен через портал Канадского института кибербезопасности Университета Нью-Брансуика.</w:t>
      </w:r>
    </w:p>
    <w:p>
      <w:pPr>
        <w:pStyle w:val="Heading3"/>
      </w:pPr>
      <w:r>
        <w:rPr>
          <w:rFonts w:ascii="Times New Roman" w:cs="Times New Roman" w:eastAsia="Times New Roman" w:hAnsi="Times New Roman"/>
          <w:b/>
          <w:bCs/>
          <w:color w:val="000000"/>
          <w:sz w:val="28"/>
          <w:szCs w:val="28"/>
        </w:rPr>
        <w:t>1.4.2 Структура и характеристики набора данных</w:t>
      </w:r>
    </w:p>
    <w:p>
      <w:pPr>
        <w:spacing w:after="0" w:before="0" w:line="360" w:lineRule="auto"/>
        <w:ind w:firstLine="709"/>
        <w:jc w:val="both"/>
      </w:pPr>
      <w:r>
        <w:rPr>
          <w:rFonts w:ascii="Times New Roman" w:cs="Times New Roman" w:eastAsia="Times New Roman" w:hAnsi="Times New Roman"/>
          <w:color w:val="000000"/>
          <w:sz w:val="28"/>
          <w:szCs w:val="28"/>
        </w:rPr>
        <w:t xml:space="preserve">Набор данных NSL-KDD состоит из четырёх файлов: обучающего набора KDDTrain+ (125 973 записи), его 20-процентного подмножества KDDTrain+_20Percent (25 192 записи), основного тестового набора KDDTest+ (22 544 записи) и набора повышенной сложности KDDTest-21 (11 850 записей, из которого исключены записи, корректно классифицированные всеми 21 базовыми алгоритмами).</w:t>
      </w:r>
    </w:p>
    <w:p>
      <w:pPr>
        <w:spacing w:after="0" w:before="0" w:line="360" w:lineRule="auto"/>
        <w:ind w:firstLine="709"/>
        <w:jc w:val="both"/>
      </w:pPr>
      <w:r>
        <w:rPr>
          <w:rFonts w:ascii="Times New Roman" w:cs="Times New Roman" w:eastAsia="Times New Roman" w:hAnsi="Times New Roman"/>
          <w:color w:val="000000"/>
          <w:sz w:val="28"/>
          <w:szCs w:val="28"/>
        </w:rPr>
        <w:t xml:space="preserve">Каждая запись описывает одно сетевое соединение и содержит 41 признак, разделённых на четыре группы. Характеристика каждой группы признаков представлена в Таблице 1.2.</w:t>
      </w:r>
    </w:p>
    <w:p>
      <w:pPr>
        <w:spacing w:after="0" w:before="85" w:line="240" w:lineRule="auto"/>
        <w:jc w:val="both"/>
      </w:pPr>
      <w:r>
        <w:rPr>
          <w:rFonts w:ascii="Times New Roman" w:cs="Times New Roman" w:eastAsia="Times New Roman" w:hAnsi="Times New Roman"/>
          <w:i/>
          <w:iCs/>
          <w:color w:val="000000"/>
          <w:sz w:val="24"/>
          <w:szCs w:val="24"/>
        </w:rPr>
        <w:t xml:space="preserve">Таблица 1.2 — Группы признаков набора данных NSL-KDD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7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Группа</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Позиции</w:t>
            </w:r>
          </w:p>
        </w:tc>
        <w:tc>
          <w:tcPr>
            <w:tcW w:type="dxa" w:w="55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Описание и примеры признаков</w:t>
            </w:r>
          </w:p>
        </w:tc>
      </w:tr>
      <w:tr>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Базовые</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1–9</w:t>
            </w:r>
          </w:p>
        </w:tc>
        <w:tc>
          <w:tcPr>
            <w:tcW w:type="dxa" w:w="5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Извлекаются из заголовков TCP/IP: duration (продолжительность), protocol_type (tcp/udp/icmp), service (60+ значений: http, ftp, ssh), flag (11 значений состояния), src_bytes, dst_bytes, land, wrong_fragment, urgent</w:t>
            </w:r>
          </w:p>
        </w:tc>
      </w:tr>
      <w:tr>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Контентные</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10–22</w:t>
            </w:r>
          </w:p>
        </w:tc>
        <w:tc>
          <w:tcPr>
            <w:tcW w:type="dxa" w:w="5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Анализ содержимого пакетов, критичны для R2L/U2R: num_failed_logins, logged_in, num_compromised, root_shell, su_attempted, num_root, num_file_creations, num_shells</w:t>
            </w:r>
          </w:p>
        </w:tc>
      </w:tr>
      <w:tr>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Временны́е</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23–31</w:t>
            </w:r>
          </w:p>
        </w:tc>
        <w:tc>
          <w:tcPr>
            <w:tcW w:type="dxa" w:w="5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Скользящее 2-секундное окно: count, srv_count, serror_rate, rerror_rate, same_srv_rate — характеризуют интенсивность и паттерны соединений</w:t>
            </w:r>
          </w:p>
        </w:tc>
      </w:tr>
      <w:tr>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Хостовые</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32–41</w:t>
            </w:r>
          </w:p>
        </w:tc>
        <w:tc>
          <w:tcPr>
            <w:tcW w:type="dxa" w:w="5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Последние 100 соединений с тем же хостом: dst_host_count, dst_host_srv_count, dst_host_same_srv_rate — для обнаружения медленных атак сканирования</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Итоговая метка класса принимает одно из 23 возможных текстовых значений (названий атак), объединяемых при обучении в пять укрупнённых категорий. Характеристики категорий и распределение записей по ним представлены в Таблице 1.3.</w:t>
      </w:r>
    </w:p>
    <w:p>
      <w:pPr>
        <w:spacing w:after="0" w:before="85" w:line="240" w:lineRule="auto"/>
        <w:jc w:val="both"/>
      </w:pPr>
      <w:r>
        <w:rPr>
          <w:rFonts w:ascii="Times New Roman" w:cs="Times New Roman" w:eastAsia="Times New Roman" w:hAnsi="Times New Roman"/>
          <w:i/>
          <w:iCs/>
          <w:color w:val="000000"/>
          <w:sz w:val="24"/>
          <w:szCs w:val="24"/>
        </w:rPr>
        <w:t xml:space="preserve">Таблица 1.3 — Категории атак в наборе данных NSL-KDD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570"/>
        <w:gridCol w:w="3000"/>
      </w:tblGrid>
      <w:tr>
        <w:trPr>
          <w:tblHeader/>
        </w:trPr>
        <w:tc>
          <w:tcPr>
            <w:tcW w:type="dxa" w:w="13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Категория</w:t>
            </w:r>
          </w:p>
        </w:tc>
        <w:tc>
          <w:tcPr>
            <w:tcW w:type="dxa" w:w="32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Описание</w:t>
            </w:r>
          </w:p>
        </w:tc>
        <w:tc>
          <w:tcPr>
            <w:tcW w:type="dxa" w:w="15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Записей (train)</w:t>
            </w:r>
          </w:p>
        </w:tc>
        <w:tc>
          <w:tcPr>
            <w:tcW w:type="dxa" w:w="3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Примеры подтипов</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DoS</w:t>
            </w:r>
          </w:p>
        </w:tc>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Отказ в обслуживании — перегрузка вычислительных ресурсов или каналов связи</w:t>
            </w:r>
          </w:p>
        </w:tc>
        <w:tc>
          <w:tcPr>
            <w:tcW w:type="dxa" w:w="1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45 927</w:t>
            </w:r>
          </w:p>
        </w:tc>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neptune, smurf, back, teardrop, pod, land</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Probe</w:t>
            </w:r>
          </w:p>
        </w:tc>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Зондирование — разведка сети, сканирование портов и хостов</w:t>
            </w:r>
          </w:p>
        </w:tc>
        <w:tc>
          <w:tcPr>
            <w:tcW w:type="dxa" w:w="1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11 656</w:t>
            </w:r>
          </w:p>
        </w:tc>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satan, ipsweep, nmap, portsweep</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R2L</w:t>
            </w:r>
          </w:p>
        </w:tc>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Несанкционированный удалённый доступ к локальным ресурсам системы</w:t>
            </w:r>
          </w:p>
        </w:tc>
        <w:tc>
          <w:tcPr>
            <w:tcW w:type="dxa" w:w="1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995</w:t>
            </w:r>
          </w:p>
        </w:tc>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warezclient, guess_passwd, imap, ftp_write</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U2R</w:t>
            </w:r>
          </w:p>
        </w:tc>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Повышение привилегий локального пользователя до суперпользователя</w:t>
            </w:r>
          </w:p>
        </w:tc>
        <w:tc>
          <w:tcPr>
            <w:tcW w:type="dxa" w:w="1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52</w:t>
            </w:r>
          </w:p>
        </w:tc>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buffer_overflow, rootkit, loadmodule, perl</w:t>
            </w:r>
          </w:p>
        </w:tc>
      </w:tr>
      <w:tr>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Normal</w:t>
            </w:r>
          </w:p>
        </w:tc>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Легитимный сетевой трафик без признаков атаки</w:t>
            </w:r>
          </w:p>
        </w:tc>
        <w:tc>
          <w:tcPr>
            <w:tcW w:type="dxa" w:w="1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67 343</w:t>
            </w:r>
          </w:p>
        </w:tc>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Выраженный дисбаланс классов — от 67 343 записей класса Normal до 52 записей класса U2R — является намеренной особенностью набора, отражающей реальное распределение трафика в корпоративных сетях. Для корректной работы классификатора в условиях дисбаланса при обучении применяется механизм взвешивания классов. Тестовая выборка KDDTest+ содержит 17 дополнительных подтипов атак, отсутствующих в обучающей выборке — это позволяет объективно оценить способность модели к обобщению на ранее не встречавшихся угрозах [8].</w:t>
      </w:r>
    </w:p>
    <w:p>
      <w:pPr>
        <w:pStyle w:val="Heading2"/>
      </w:pPr>
      <w:r>
        <w:rPr>
          <w:rFonts w:ascii="Times New Roman" w:cs="Times New Roman" w:eastAsia="Times New Roman" w:hAnsi="Times New Roman"/>
          <w:b/>
          <w:bCs/>
          <w:color w:val="000000"/>
          <w:sz w:val="32"/>
          <w:szCs w:val="32"/>
        </w:rPr>
        <w:t>1.5 Методы машинного обучения для задачи обнаружения вторжений</w:t>
      </w:r>
    </w:p>
    <w:p>
      <w:pPr>
        <w:pStyle w:val="Heading3"/>
      </w:pPr>
      <w:r>
        <w:rPr>
          <w:rFonts w:ascii="Times New Roman" w:cs="Times New Roman" w:eastAsia="Times New Roman" w:hAnsi="Times New Roman"/>
          <w:b/>
          <w:bCs/>
          <w:color w:val="000000"/>
          <w:sz w:val="28"/>
          <w:szCs w:val="28"/>
        </w:rPr>
        <w:t>1.5.1 Обзор применяемых алгоритмов</w:t>
      </w:r>
    </w:p>
    <w:p>
      <w:pPr>
        <w:spacing w:after="0" w:before="0" w:line="360" w:lineRule="auto"/>
        <w:ind w:firstLine="709"/>
        <w:jc w:val="both"/>
      </w:pPr>
      <w:r>
        <w:rPr>
          <w:rFonts w:ascii="Times New Roman" w:cs="Times New Roman" w:eastAsia="Times New Roman" w:hAnsi="Times New Roman"/>
          <w:color w:val="000000"/>
          <w:sz w:val="28"/>
          <w:szCs w:val="28"/>
        </w:rPr>
        <w:t xml:space="preserve">Задача классификации сетевых соединений на основе NSL-KDD относится к классу задач многоклассовой классификации с выраженным дисбалансом. В научной литературе для её решения апробирован широкий спектр методов — от классических алгоритмов до архитектур глубокого обучения. Сравнительные характеристики наиболее значимых методов представлены в Таблице 1.4.</w:t>
      </w:r>
    </w:p>
    <w:p>
      <w:pPr>
        <w:spacing w:after="0" w:before="85" w:line="240" w:lineRule="auto"/>
        <w:jc w:val="both"/>
      </w:pPr>
      <w:r>
        <w:rPr>
          <w:rFonts w:ascii="Times New Roman" w:cs="Times New Roman" w:eastAsia="Times New Roman" w:hAnsi="Times New Roman"/>
          <w:i/>
          <w:iCs/>
          <w:color w:val="000000"/>
          <w:sz w:val="24"/>
          <w:szCs w:val="24"/>
        </w:rPr>
        <w:t xml:space="preserve">Таблица 1.4 — Сравнение методов машинного обучения для задачи обнаружения вторжений</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300"/>
        <w:gridCol w:w="1370"/>
        <w:gridCol w:w="1300"/>
        <w:gridCol w:w="1400"/>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Метод</w:t>
            </w:r>
          </w:p>
        </w:tc>
        <w:tc>
          <w:tcPr>
            <w:tcW w:type="dxa" w:w="16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Точность на NSL-KDD</w:t>
            </w:r>
          </w:p>
        </w:tc>
        <w:tc>
          <w:tcPr>
            <w:tcW w:type="dxa" w:w="13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Время обучения</w:t>
            </w:r>
          </w:p>
        </w:tc>
        <w:tc>
          <w:tcPr>
            <w:tcW w:type="dxa" w:w="13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Интерпрет.</w:t>
            </w:r>
          </w:p>
        </w:tc>
        <w:tc>
          <w:tcPr>
            <w:tcW w:type="dxa" w:w="13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Zero-day</w:t>
            </w:r>
          </w:p>
        </w:tc>
        <w:tc>
          <w:tcPr>
            <w:tcW w:type="dxa" w:w="14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Ресурсы</w:t>
            </w:r>
          </w:p>
        </w:tc>
      </w:tr>
      <w:tr>
        <w:tc>
          <w:tcPr>
            <w:tcW w:type="dxa" w:w="21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Random Forest</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до 99,67%</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Среднее</w:t>
            </w:r>
          </w:p>
        </w:tc>
        <w:tc>
          <w:tcPr>
            <w:tcW w:type="dxa" w:w="1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Высокая</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Частично</w:t>
            </w:r>
          </w:p>
        </w:tc>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Низкие</w:t>
            </w:r>
          </w:p>
        </w:tc>
      </w:tr>
      <w:tr>
        <w:tc>
          <w:tcPr>
            <w:tcW w:type="dxa" w:w="21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Decision Tree</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до 99,26%</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Быстрое</w:t>
            </w:r>
          </w:p>
        </w:tc>
        <w:tc>
          <w:tcPr>
            <w:tcW w:type="dxa" w:w="1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Высокая</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w:t>
            </w:r>
          </w:p>
        </w:tc>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Низкие</w:t>
            </w:r>
          </w:p>
        </w:tc>
      </w:tr>
      <w:tr>
        <w:tc>
          <w:tcPr>
            <w:tcW w:type="dxa" w:w="21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SVM</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88–99%</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Медленное</w:t>
            </w:r>
          </w:p>
        </w:tc>
        <w:tc>
          <w:tcPr>
            <w:tcW w:type="dxa" w:w="1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Низкая</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Частично</w:t>
            </w:r>
          </w:p>
        </w:tc>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Средние</w:t>
            </w:r>
          </w:p>
        </w:tc>
      </w:tr>
      <w:tr>
        <w:tc>
          <w:tcPr>
            <w:tcW w:type="dxa" w:w="21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KNN</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75–94%</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 этапа</w:t>
            </w:r>
          </w:p>
        </w:tc>
        <w:tc>
          <w:tcPr>
            <w:tcW w:type="dxa" w:w="1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Средняя</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w:t>
            </w:r>
          </w:p>
        </w:tc>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Высокие</w:t>
            </w:r>
          </w:p>
        </w:tc>
      </w:tr>
      <w:tr>
        <w:tc>
          <w:tcPr>
            <w:tcW w:type="dxa" w:w="21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Naive Bayes</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до 90%</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Быстрое</w:t>
            </w:r>
          </w:p>
        </w:tc>
        <w:tc>
          <w:tcPr>
            <w:tcW w:type="dxa" w:w="1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Средняя</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Нет</w:t>
            </w:r>
          </w:p>
        </w:tc>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Низкие</w:t>
            </w:r>
          </w:p>
        </w:tc>
      </w:tr>
      <w:tr>
        <w:tc>
          <w:tcPr>
            <w:tcW w:type="dxa" w:w="21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LSTM / RNN</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81–97%</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Долгое</w:t>
            </w:r>
          </w:p>
        </w:tc>
        <w:tc>
          <w:tcPr>
            <w:tcW w:type="dxa" w:w="1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Низкая</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Да</w:t>
            </w:r>
          </w:p>
        </w:tc>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Высокие</w:t>
            </w:r>
          </w:p>
        </w:tc>
      </w:tr>
      <w:tr>
        <w:tc>
          <w:tcPr>
            <w:tcW w:type="dxa" w:w="21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CNN</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91–99%</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Долгое</w:t>
            </w:r>
          </w:p>
        </w:tc>
        <w:tc>
          <w:tcPr>
            <w:tcW w:type="dxa" w:w="1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Низкая</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Да</w:t>
            </w:r>
          </w:p>
        </w:tc>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Высокие</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Как следует из Таблицы 1.4, алгоритм Random Forest демонстрирует наилучшее сочетание точности, интерпретируемости и вычислительной эффективности. Методы глубокого обучения (LSTM, CNN) показывают более высокие результаты при обнаружении атак нулевого дня, однако требуют значительных вычислительных ресурсов и большого объёма данных.</w:t>
      </w:r>
    </w:p>
    <w:p>
      <w:pPr>
        <w:pStyle w:val="Heading3"/>
      </w:pPr>
      <w:r>
        <w:rPr>
          <w:rFonts w:ascii="Times New Roman" w:cs="Times New Roman" w:eastAsia="Times New Roman" w:hAnsi="Times New Roman"/>
          <w:b/>
          <w:bCs/>
          <w:color w:val="000000"/>
          <w:sz w:val="28"/>
          <w:szCs w:val="28"/>
        </w:rPr>
        <w:t>1.5.2 Алгоритм случайного леса и обоснование его выбора</w:t>
      </w:r>
    </w:p>
    <w:p>
      <w:pPr>
        <w:spacing w:after="0" w:before="0" w:line="360" w:lineRule="auto"/>
        <w:ind w:firstLine="709"/>
        <w:jc w:val="both"/>
      </w:pPr>
      <w:r>
        <w:rPr>
          <w:rFonts w:ascii="Times New Roman" w:cs="Times New Roman" w:eastAsia="Times New Roman" w:hAnsi="Times New Roman"/>
          <w:color w:val="000000"/>
          <w:sz w:val="28"/>
          <w:szCs w:val="28"/>
        </w:rPr>
        <w:t xml:space="preserve">Алгоритм случайного леса (Random Forest), предложенный Лео Брейманом в 2001 году [9], представляет собой ансамблевый метод обучения, строящий множество деревьев решений на случайных подвыборках обучающих данных (бутстрэп-выборки) и агрегирующий их предсказания методом голосования большинства. В каждом узле разбиения рассматривается случайное подмножество признаков — как правило, в количестве, равном квадратному корню из их общего числа. Такой подход обеспечивает разнообразие деревьев и снижает корреляцию ошибок между ними.</w:t>
      </w:r>
    </w:p>
    <w:p>
      <w:pPr>
        <w:spacing w:after="0" w:before="0" w:line="360" w:lineRule="auto"/>
        <w:ind w:firstLine="709"/>
        <w:jc w:val="both"/>
      </w:pPr>
      <w:r>
        <w:rPr>
          <w:rFonts w:ascii="Times New Roman" w:cs="Times New Roman" w:eastAsia="Times New Roman" w:hAnsi="Times New Roman"/>
          <w:color w:val="000000"/>
          <w:sz w:val="28"/>
          <w:szCs w:val="28"/>
        </w:rPr>
        <w:t xml:space="preserve">Применение Random Forest к набору данных NSL-KDD обосновывается рядом аргументов. По данным систематического обзора Ahmad et al. (2021) [10], алгоритм показал наилучшие результаты в 53% из 17 проанализированных исследований, достигая точности 99,67% при бинарной классификации (Farnaaz, Jabbar, 2016) [11]. При многоклассовой постановке задачи точность составляет 98–99% при кросс-валидации [12, 13].</w:t>
      </w:r>
    </w:p>
    <w:p>
      <w:pPr>
        <w:spacing w:after="0" w:before="0" w:line="360" w:lineRule="auto"/>
        <w:ind w:firstLine="709"/>
        <w:jc w:val="both"/>
      </w:pPr>
      <w:r>
        <w:rPr>
          <w:rFonts w:ascii="Times New Roman" w:cs="Times New Roman" w:eastAsia="Times New Roman" w:hAnsi="Times New Roman"/>
          <w:color w:val="000000"/>
          <w:sz w:val="28"/>
          <w:szCs w:val="28"/>
        </w:rPr>
        <w:t xml:space="preserve">С практической точки зрения алгоритм обладает четырьмя ключевыми преимуществами для задачи IDS. Первое — устойчивость к выбросам и шуму: агрегация деревьев компенсирует влияние аномальных наблюдений. Второе — устойчивость к переобучению за счёт бутстрэп-агрегации. Третье — встроенное ранжирование важности признаков (feature importance на основе критерия Джини), что позволяет выявлять наиболее информативные характеристики трафика и объяснять принятые классификатором решения. Четвёртое — корректная работа с дисбалансом классов через параметр class_weight='balanced', критично важным для редких категорий U2R (52 записи) и R2L (995 записей) [14].</w:t>
      </w:r>
    </w:p>
    <w:p>
      <w:pPr>
        <w:spacing w:after="0" w:before="0" w:line="360" w:lineRule="auto"/>
        <w:ind w:firstLine="709"/>
        <w:jc w:val="both"/>
      </w:pPr>
      <w:r>
        <w:rPr>
          <w:rFonts w:ascii="Times New Roman" w:cs="Times New Roman" w:eastAsia="Times New Roman" w:hAnsi="Times New Roman"/>
          <w:color w:val="000000"/>
          <w:sz w:val="28"/>
          <w:szCs w:val="28"/>
        </w:rPr>
        <w:t xml:space="preserve">По сравнению с методами глубокого обучения (LSTM, CNN) Random Forest требует на несколько порядков меньше вычислительных ресурсов и не нуждается в специализированном оборудовании (GPU). Это делает алгоритм пригодным для развёртывания на стандартной серверной инфраструктуре российских предприятий без дополнительных капитальных затрат.</w:t>
      </w:r>
    </w:p>
    <w:p>
      <w:pPr>
        <w:pStyle w:val="Heading2"/>
      </w:pPr>
      <w:r>
        <w:rPr>
          <w:rFonts w:ascii="Times New Roman" w:cs="Times New Roman" w:eastAsia="Times New Roman" w:hAnsi="Times New Roman"/>
          <w:b/>
          <w:bCs/>
          <w:color w:val="000000"/>
          <w:sz w:val="32"/>
          <w:szCs w:val="32"/>
        </w:rPr>
        <w:t>1.6 Выводы по первой главе</w:t>
      </w:r>
    </w:p>
    <w:p>
      <w:pPr>
        <w:spacing w:after="0" w:before="0" w:line="360" w:lineRule="auto"/>
        <w:ind w:firstLine="709"/>
        <w:jc w:val="both"/>
      </w:pPr>
      <w:r>
        <w:rPr>
          <w:rFonts w:ascii="Times New Roman" w:cs="Times New Roman" w:eastAsia="Times New Roman" w:hAnsi="Times New Roman"/>
          <w:color w:val="000000"/>
          <w:sz w:val="28"/>
          <w:szCs w:val="28"/>
        </w:rPr>
        <w:t xml:space="preserve">В ходе анализа предметной области и обзора существующих решений получены следующие основные результаты.</w:t>
      </w:r>
    </w:p>
    <w:p>
      <w:pPr>
        <w:spacing w:after="0" w:before="0" w:line="360" w:lineRule="auto"/>
        <w:ind w:firstLine="709"/>
        <w:jc w:val="both"/>
      </w:pPr>
      <w:r>
        <w:rPr>
          <w:rFonts w:ascii="Times New Roman" w:cs="Times New Roman" w:eastAsia="Times New Roman" w:hAnsi="Times New Roman"/>
          <w:color w:val="000000"/>
          <w:sz w:val="28"/>
          <w:szCs w:val="28"/>
        </w:rPr>
        <w:t xml:space="preserve">Установлено, что сетевые вторжения являются одной из ключевых угроз для российских предприятий: по данным RED Security SOC, за девять месяцев 2025 года зафиксировано более 105 000 кибератак (+46%), число атак на КИИ выросло в четыре раза, а ущерб от отдельных инцидентов достигает 1,7 млрд рублей. Нормативные требования 187-ФЗ и приказов ФСТЭК обязывают субъектов КИИ использовать сертифицированные средства обнаружения вторжений.</w:t>
      </w:r>
    </w:p>
    <w:p>
      <w:pPr>
        <w:spacing w:after="0" w:before="0" w:line="360" w:lineRule="auto"/>
        <w:ind w:firstLine="709"/>
        <w:jc w:val="both"/>
      </w:pPr>
      <w:r>
        <w:rPr>
          <w:rFonts w:ascii="Times New Roman" w:cs="Times New Roman" w:eastAsia="Times New Roman" w:hAnsi="Times New Roman"/>
          <w:color w:val="000000"/>
          <w:sz w:val="28"/>
          <w:szCs w:val="28"/>
        </w:rPr>
        <w:t xml:space="preserve">Показано, что существующие IDS-решения имеют принципиальные ограничения: сигнатурные системы (Snort, Suricata, ViPNet IDS) не способны обнаруживать атаки нулевого дня, а коммерческие продукты с элементами ML (PT NAD, KATA) характеризуются высоким стоимостным порогом. Набор данных NSL-KDD является оптимальным эталоном для разработки: он устраняет недостатки KDD'99, содержит реалистичное распределение типов атак и обеспечивает воспроизводимость результатов.</w:t>
      </w:r>
    </w:p>
    <w:p>
      <w:pPr>
        <w:spacing w:after="0" w:before="0" w:line="360" w:lineRule="auto"/>
        <w:ind w:firstLine="709"/>
        <w:jc w:val="both"/>
      </w:pPr>
      <w:r>
        <w:rPr>
          <w:rFonts w:ascii="Times New Roman" w:cs="Times New Roman" w:eastAsia="Times New Roman" w:hAnsi="Times New Roman"/>
          <w:color w:val="000000"/>
          <w:sz w:val="28"/>
          <w:szCs w:val="28"/>
        </w:rPr>
        <w:t xml:space="preserve">Обоснован выбор алгоритма Random Forest в качестве базового классификатора: алгоритм демонстрирует наилучшее соотношение точности (до 99,67% в литературе), интерпретируемости и вычислительной эффективности среди рассмотренных методов. Полученные результаты формируют основу для проектирования архитектуры разрабатываемого модуля.</w:t>
      </w:r>
    </w:p>
    <w:p>
      <w:pPr>
        <w:pStyle w:val="Heading1"/>
      </w:pPr>
      <w:r>
        <w:rPr>
          <w:rFonts w:ascii="Times New Roman" w:cs="Times New Roman" w:eastAsia="Times New Roman" w:hAnsi="Times New Roman"/>
          <w:b/>
          <w:bCs/>
          <w:caps/>
          <w:color w:val="000000"/>
          <w:sz w:val="36"/>
          <w:szCs w:val="36"/>
        </w:rPr>
        <w:t xml:space="preserve">2 ПРОЕКТИРОВАНИЕ МОДУЛЯ ИНТЕГРАЦИИ СИСТЕМЫ ОБНАРУЖЕНИЯ ВТОРЖЕНИЙ</w:t>
      </w:r>
    </w:p>
    <w:p>
      <w:pPr>
        <w:pStyle w:val="Heading2"/>
      </w:pPr>
      <w:r>
        <w:rPr>
          <w:rFonts w:ascii="Times New Roman" w:cs="Times New Roman" w:eastAsia="Times New Roman" w:hAnsi="Times New Roman"/>
          <w:b/>
          <w:bCs/>
          <w:color w:val="000000"/>
          <w:sz w:val="32"/>
          <w:szCs w:val="32"/>
        </w:rPr>
        <w:t xml:space="preserve">2.1 Постановка задачи и требования к разрабатываемому модулю</w:t>
      </w:r>
    </w:p>
    <w:p>
      <w:pPr>
        <w:spacing w:after="0" w:before="0" w:line="360" w:lineRule="auto"/>
        <w:ind w:firstLine="709"/>
        <w:jc w:val="both"/>
      </w:pPr>
      <w:r>
        <w:rPr>
          <w:rFonts w:ascii="Times New Roman" w:cs="Times New Roman" w:eastAsia="Times New Roman" w:hAnsi="Times New Roman"/>
          <w:color w:val="000000"/>
          <w:sz w:val="28"/>
          <w:szCs w:val="28"/>
        </w:rPr>
        <w:t xml:space="preserve">На основании анализа предметной области, выполненного в первой главе, сформулирована конкретная задача разработки. Требуется создать программный модуль, реализующий полный цикл машинного обучения для задачи обнаружения сетевых вторжений: от загрузки и предобработки данных NSL-KDD до предоставления результатов классификации внешним системам через программный интерфейс REST API.</w:t>
      </w:r>
    </w:p>
    <w:p>
      <w:pPr>
        <w:spacing w:after="0" w:before="0" w:line="360" w:lineRule="auto"/>
        <w:ind w:firstLine="709"/>
        <w:jc w:val="both"/>
      </w:pPr>
      <w:r>
        <w:rPr>
          <w:rFonts w:ascii="Times New Roman" w:cs="Times New Roman" w:eastAsia="Times New Roman" w:hAnsi="Times New Roman"/>
          <w:color w:val="000000"/>
          <w:sz w:val="28"/>
          <w:szCs w:val="28"/>
        </w:rPr>
        <w:t xml:space="preserve">Модуль должен решать две взаимосвязанные задачи. Первая — офлайн-задача: обучение классификатора на исторических данных NSL-KDD и сохранение готовой модели для последующего использования. Вторая — онлайн-задача: приём данных о новом сетевом соединении в режиме реального времени, классификация с использованием предобученной модели и возврат результата системе-потребителю.</w:t>
      </w:r>
    </w:p>
    <w:p>
      <w:pPr>
        <w:pStyle w:val="Heading3"/>
      </w:pPr>
      <w:r>
        <w:rPr>
          <w:rFonts w:ascii="Times New Roman" w:cs="Times New Roman" w:eastAsia="Times New Roman" w:hAnsi="Times New Roman"/>
          <w:b/>
          <w:bCs/>
          <w:color w:val="000000"/>
          <w:sz w:val="28"/>
          <w:szCs w:val="28"/>
        </w:rPr>
        <w:t xml:space="preserve">2.1.1 Функциональные требования</w:t>
      </w:r>
    </w:p>
    <w:p>
      <w:pPr>
        <w:spacing w:after="0" w:before="0" w:line="360" w:lineRule="auto"/>
        <w:ind w:firstLine="709"/>
        <w:jc w:val="both"/>
      </w:pPr>
      <w:r>
        <w:rPr>
          <w:rFonts w:ascii="Times New Roman" w:cs="Times New Roman" w:eastAsia="Times New Roman" w:hAnsi="Times New Roman"/>
          <w:color w:val="000000"/>
          <w:sz w:val="28"/>
          <w:szCs w:val="28"/>
        </w:rPr>
        <w:t xml:space="preserve">Функциональные требования к разрабатываемому модулю, определяющие его поведение с точки зрения пользователя и систем-потребителей, представлены в Таблице 2.1.</w:t>
      </w:r>
    </w:p>
    <w:p>
      <w:pPr>
        <w:spacing w:after="0" w:before="85" w:line="240" w:lineRule="auto"/>
        <w:jc w:val="both"/>
      </w:pPr>
      <w:r>
        <w:rPr>
          <w:rFonts w:ascii="Times New Roman" w:cs="Times New Roman" w:eastAsia="Times New Roman" w:hAnsi="Times New Roman"/>
          <w:i/>
          <w:iCs/>
          <w:color w:val="000000"/>
          <w:sz w:val="24"/>
          <w:szCs w:val="24"/>
        </w:rPr>
        <w:t xml:space="preserve">Таблица 2.1 — Функциональные требования к модулю</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7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Требование</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Идентификатор</w:t>
            </w:r>
          </w:p>
        </w:tc>
        <w:tc>
          <w:tcPr>
            <w:tcW w:type="dxa" w:w="38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Описание</w:t>
            </w:r>
          </w:p>
        </w:tc>
      </w:tr>
      <w:tr>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Классификация трафика</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ФТ-01</w:t>
            </w:r>
          </w:p>
        </w:tc>
        <w:tc>
          <w:tcPr>
            <w:tcW w:type="dxa" w:w="3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Классификация по пяти категориям: Normal, DoS, Probe, R2L, U2R</w:t>
            </w:r>
          </w:p>
        </w:tc>
      </w:tr>
      <w:tr>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Точность классификации</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ФТ-02</w:t>
            </w:r>
          </w:p>
        </w:tc>
        <w:tc>
          <w:tcPr>
            <w:tcW w:type="dxa" w:w="3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Accuracy на KDDTest+ не ниже 97% (обучающее распределение); CV F1 macro не ниже 0,85</w:t>
            </w:r>
          </w:p>
        </w:tc>
      </w:tr>
      <w:tr>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Программный интерфейс</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ФТ-03</w:t>
            </w:r>
          </w:p>
        </w:tc>
        <w:tc>
          <w:tcPr>
            <w:tcW w:type="dxa" w:w="3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REST API для приёма данных и возврата результата классификации в JSON</w:t>
            </w:r>
          </w:p>
        </w:tc>
      </w:tr>
      <w:tr>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Сохранение модели</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ФТ-04</w:t>
            </w:r>
          </w:p>
        </w:tc>
        <w:tc>
          <w:tcPr>
            <w:tcW w:type="dxa" w:w="3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Модель сохраняется на диск и загружается без повторного обучения</w:t>
            </w:r>
          </w:p>
        </w:tc>
      </w:tr>
      <w:tr>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Журналирование</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ФТ-05</w:t>
            </w:r>
          </w:p>
        </w:tc>
        <w:tc>
          <w:tcPr>
            <w:tcW w:type="dxa" w:w="3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Все запросы и результаты записываются в JSON-лог с временны́ми метками</w:t>
            </w:r>
          </w:p>
        </w:tc>
      </w:tr>
      <w:tr>
        <w:tc>
          <w:tcPr>
            <w:tcW w:type="dxa" w:w="3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Пакетная обработка</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ФТ-06</w:t>
            </w:r>
          </w:p>
        </w:tc>
        <w:tc>
          <w:tcPr>
            <w:tcW w:type="dxa" w:w="3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Поддержка единичной и пакетной классификации (до 1 000 записей)</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Требования ФТ-01 и ФТ-02 определяют основную функцию модуля — корректную и точную классификацию трафика. Требования ФТ-03 и ФТ-06 обеспечивают возможность интеграции с внешними системами. Требования ФТ-04 и ФТ-05 направлены на практическую применимость модуля в условиях реальной производственной эксплуатации.</w:t>
      </w:r>
    </w:p>
    <w:p>
      <w:pPr>
        <w:pStyle w:val="Heading3"/>
      </w:pPr>
      <w:r>
        <w:rPr>
          <w:rFonts w:ascii="Times New Roman" w:cs="Times New Roman" w:eastAsia="Times New Roman" w:hAnsi="Times New Roman"/>
          <w:b/>
          <w:bCs/>
          <w:color w:val="000000"/>
          <w:sz w:val="28"/>
          <w:szCs w:val="28"/>
        </w:rPr>
        <w:t xml:space="preserve">2.1.2 Нефункциональные требования</w:t>
      </w:r>
    </w:p>
    <w:p>
      <w:pPr>
        <w:spacing w:after="0" w:before="0" w:line="360" w:lineRule="auto"/>
        <w:ind w:firstLine="709"/>
        <w:jc w:val="both"/>
      </w:pPr>
      <w:r>
        <w:rPr>
          <w:rFonts w:ascii="Times New Roman" w:cs="Times New Roman" w:eastAsia="Times New Roman" w:hAnsi="Times New Roman"/>
          <w:color w:val="000000"/>
          <w:sz w:val="28"/>
          <w:szCs w:val="28"/>
        </w:rPr>
        <w:t xml:space="preserve">Нефункциональные требования, определяющие качественные характеристики модуля и обязательные для его практического применения в инфраструктуре российских предприятий, представлены в Таблице 2.2.</w:t>
      </w:r>
    </w:p>
    <w:p>
      <w:pPr>
        <w:spacing w:after="0" w:before="85" w:line="240" w:lineRule="auto"/>
        <w:jc w:val="both"/>
      </w:pPr>
      <w:r>
        <w:rPr>
          <w:rFonts w:ascii="Times New Roman" w:cs="Times New Roman" w:eastAsia="Times New Roman" w:hAnsi="Times New Roman"/>
          <w:i/>
          <w:iCs/>
          <w:color w:val="000000"/>
          <w:sz w:val="24"/>
          <w:szCs w:val="24"/>
        </w:rPr>
        <w:t xml:space="preserve">Таблица 2.2 — Нефункциональные требования к модулю</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7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Категория</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Идентификатор</w:t>
            </w:r>
          </w:p>
        </w:tc>
        <w:tc>
          <w:tcPr>
            <w:tcW w:type="dxa" w:w="45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Описание</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Производительность</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НТ-01</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Время отклика API на единичный запрос — не более 100 мс на стандартном серверном CPU</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Надёжность</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НТ-02</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Некорректные данные обрабатываются без аварийного завершения; ошибки — HTTP 400/500 в JSON</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Переносимость</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НТ-03</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Работа на Linux (Astra Linux, РЕД ОС, Ubuntu 20.04+) и Windows Server 2019/2022</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Сопровождаемость</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НТ-04</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Код документирован на русском языке; замена классификатора не требует изменения API</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Безопасность</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НТ-05</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Персональные данные не обрабатываются; входные данные валидируются до передачи в модель</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Требование НТ-03 о поддержке Linux является особенно важным в контексте импортозамещения: большинство серверной инфраструктуры российских предприятий, переходящих на отечественное ПО, функционирует под управлением дистрибутивов на базе Linux — Astra Linux Special Edition, РЕД ОС, ALT Linux.</w:t>
      </w:r>
    </w:p>
    <w:p>
      <w:pPr>
        <w:pStyle w:val="Heading2"/>
      </w:pPr>
      <w:r>
        <w:rPr>
          <w:rFonts w:ascii="Times New Roman" w:cs="Times New Roman" w:eastAsia="Times New Roman" w:hAnsi="Times New Roman"/>
          <w:b/>
          <w:bCs/>
          <w:color w:val="000000"/>
          <w:sz w:val="32"/>
          <w:szCs w:val="32"/>
        </w:rPr>
        <w:t xml:space="preserve">2.2 Архитектура модуля интеграции</w:t>
      </w:r>
    </w:p>
    <w:p>
      <w:pPr>
        <w:pStyle w:val="Heading3"/>
      </w:pPr>
      <w:r>
        <w:rPr>
          <w:rFonts w:ascii="Times New Roman" w:cs="Times New Roman" w:eastAsia="Times New Roman" w:hAnsi="Times New Roman"/>
          <w:b/>
          <w:bCs/>
          <w:color w:val="000000"/>
          <w:sz w:val="28"/>
          <w:szCs w:val="28"/>
        </w:rPr>
        <w:t xml:space="preserve">2.2.1 Общая архитектурная концепция</w:t>
      </w:r>
    </w:p>
    <w:p>
      <w:pPr>
        <w:spacing w:after="0" w:before="0" w:line="360" w:lineRule="auto"/>
        <w:ind w:firstLine="709"/>
        <w:jc w:val="both"/>
      </w:pPr>
      <w:r>
        <w:rPr>
          <w:rFonts w:ascii="Times New Roman" w:cs="Times New Roman" w:eastAsia="Times New Roman" w:hAnsi="Times New Roman"/>
          <w:color w:val="000000"/>
          <w:sz w:val="28"/>
          <w:szCs w:val="28"/>
        </w:rPr>
        <w:t xml:space="preserve">Разрабатываемый модуль строится по принципу разделения ответственности (Separation of Concerns): каждый компонент выполняет строго определённую функцию и взаимодействует с остальными через чётко заданные интерфейсы. Такой подход обеспечивает независимое тестирование компонентов и возможность замены классификатора без изменения логики API — что соответствует требованию НТ-04.</w:t>
      </w:r>
    </w:p>
    <w:p>
      <w:pPr>
        <w:spacing w:after="0" w:before="0" w:line="360" w:lineRule="auto"/>
        <w:ind w:firstLine="709"/>
        <w:jc w:val="both"/>
      </w:pPr>
      <w:r>
        <w:rPr>
          <w:rFonts w:ascii="Times New Roman" w:cs="Times New Roman" w:eastAsia="Times New Roman" w:hAnsi="Times New Roman"/>
          <w:color w:val="000000"/>
          <w:sz w:val="28"/>
          <w:szCs w:val="28"/>
        </w:rPr>
        <w:t xml:space="preserve">Архитектура модуля включает пять ключевых компонентов: предобработка данных (preprocessing.py), обучение модели (model.py), оценка качества (evaluator.py), сериализация (joblib), REST API (integration.py). Управляющим компонентом является точка входа main.py с интерфейсом командной строки. Схема взаимодействия компонентов представлена на Рисунке 2.1.</w:t>
      </w:r>
    </w:p>
    <w:p>
      <w:pPr>
        <w:spacing w:after="0" w:before="0" w:line="240" w:lineRule="auto"/>
        <w:jc w:val="left"/>
      </w:pPr>
      <w:r>
        <w:rPr>
          <w:rFonts w:ascii="Courier New" w:cs="Courier New" w:eastAsia="Courier New" w:hAnsi="Courier New"/>
          <w:color w:val="000000"/>
          <w:sz w:val="18"/>
          <w:szCs w:val="18"/>
        </w:rPr>
        <w:t xml:space="preserve">┌──────────────────────────────────────────────────────────────────────┐</w:t>
      </w:r>
    </w:p>
    <w:p>
      <w:pPr>
        <w:spacing w:after="0" w:before="0" w:line="240" w:lineRule="auto"/>
        <w:jc w:val="left"/>
      </w:pPr>
      <w:r>
        <w:rPr>
          <w:rFonts w:ascii="Courier New" w:cs="Courier New" w:eastAsia="Courier New" w:hAnsi="Courier New"/>
          <w:color w:val="000000"/>
          <w:sz w:val="18"/>
          <w:szCs w:val="18"/>
        </w:rPr>
        <w:t xml:space="preserve">│                         main.py (точка входа)                        │</w:t>
      </w:r>
    </w:p>
    <w:p>
      <w:pPr>
        <w:spacing w:after="0" w:before="0" w:line="240" w:lineRule="auto"/>
        <w:jc w:val="left"/>
      </w:pPr>
      <w:r>
        <w:rPr>
          <w:rFonts w:ascii="Courier New" w:cs="Courier New" w:eastAsia="Courier New" w:hAnsi="Courier New"/>
          <w:color w:val="000000"/>
          <w:sz w:val="18"/>
          <w:szCs w:val="18"/>
        </w:rPr>
        <w:t xml:space="preserve">│              --mode train │ --mode evaluate │ --mode serve            │</w:t>
      </w:r>
    </w:p>
    <w:p>
      <w:pPr>
        <w:spacing w:after="0" w:before="0" w:line="240" w:lineRule="auto"/>
        <w:jc w:val="left"/>
      </w:pPr>
      <w:r>
        <w:rPr>
          <w:rFonts w:ascii="Courier New" w:cs="Courier New" w:eastAsia="Courier New" w:hAnsi="Courier New"/>
          <w:color w:val="000000"/>
          <w:sz w:val="18"/>
          <w:szCs w:val="18"/>
        </w:rPr>
        <w:t xml:space="preserve">└──────────────┬────────────┴──────────────────┘────────────────────────┘</w:t>
      </w:r>
    </w:p>
    <w:p>
      <w:pPr>
        <w:spacing w:after="0" w:before="0" w:line="240" w:lineRule="auto"/>
        <w:jc w:val="left"/>
      </w:pPr>
      <w:r>
        <w:rPr>
          <w:rFonts w:ascii="Courier New" w:cs="Courier New" w:eastAsia="Courier New" w:hAnsi="Courier New"/>
          <w:color w:val="000000"/>
          <w:sz w:val="18"/>
          <w:szCs w:val="18"/>
        </w:rPr>
        <w:t xml:space="preserve">               │                                          │</w:t>
      </w:r>
    </w:p>
    <w:p>
      <w:pPr>
        <w:spacing w:after="0" w:before="0" w:line="240" w:lineRule="auto"/>
        <w:jc w:val="left"/>
      </w:pPr>
      <w:r>
        <w:rPr>
          <w:rFonts w:ascii="Courier New" w:cs="Courier New" w:eastAsia="Courier New" w:hAnsi="Courier New"/>
          <w:color w:val="000000"/>
          <w:sz w:val="18"/>
          <w:szCs w:val="18"/>
        </w:rPr>
        <w:t xml:space="preserve">     ┌─────────▼──────────┐                   ┌──────────▼──────────┐</w:t>
      </w:r>
    </w:p>
    <w:p>
      <w:pPr>
        <w:spacing w:after="0" w:before="0" w:line="240" w:lineRule="auto"/>
        <w:jc w:val="left"/>
      </w:pPr>
      <w:r>
        <w:rPr>
          <w:rFonts w:ascii="Courier New" w:cs="Courier New" w:eastAsia="Courier New" w:hAnsi="Courier New"/>
          <w:color w:val="000000"/>
          <w:sz w:val="18"/>
          <w:szCs w:val="18"/>
        </w:rPr>
        <w:t xml:space="preserve">     │  preprocessing.py  │                   │   integration.py    │</w:t>
      </w:r>
    </w:p>
    <w:p>
      <w:pPr>
        <w:spacing w:after="0" w:before="0" w:line="240" w:lineRule="auto"/>
        <w:jc w:val="left"/>
      </w:pPr>
      <w:r>
        <w:rPr>
          <w:rFonts w:ascii="Courier New" w:cs="Courier New" w:eastAsia="Courier New" w:hAnsi="Courier New"/>
          <w:color w:val="000000"/>
          <w:sz w:val="18"/>
          <w:szCs w:val="18"/>
        </w:rPr>
        <w:t xml:space="preserve">     │  ─────────────────  │                   │   ─────────────────  │</w:t>
      </w:r>
    </w:p>
    <w:p>
      <w:pPr>
        <w:spacing w:after="0" w:before="0" w:line="240" w:lineRule="auto"/>
        <w:jc w:val="left"/>
      </w:pPr>
      <w:r>
        <w:rPr>
          <w:rFonts w:ascii="Courier New" w:cs="Courier New" w:eastAsia="Courier New" w:hAnsi="Courier New"/>
          <w:color w:val="000000"/>
          <w:sz w:val="18"/>
          <w:szCs w:val="18"/>
        </w:rPr>
        <w:t xml:space="preserve">     │ Загрузка NSL-KDD   │                   │ Flask REST API      │</w:t>
      </w:r>
    </w:p>
    <w:p>
      <w:pPr>
        <w:spacing w:after="0" w:before="0" w:line="240" w:lineRule="auto"/>
        <w:jc w:val="left"/>
      </w:pPr>
      <w:r>
        <w:rPr>
          <w:rFonts w:ascii="Courier New" w:cs="Courier New" w:eastAsia="Courier New" w:hAnsi="Courier New"/>
          <w:color w:val="000000"/>
          <w:sz w:val="18"/>
          <w:szCs w:val="18"/>
        </w:rPr>
        <w:t xml:space="preserve">     │ LabelEncoder       │                   │ POST /predict       │</w:t>
      </w:r>
    </w:p>
    <w:p>
      <w:pPr>
        <w:spacing w:after="0" w:before="0" w:line="240" w:lineRule="auto"/>
        <w:jc w:val="left"/>
      </w:pPr>
      <w:r>
        <w:rPr>
          <w:rFonts w:ascii="Courier New" w:cs="Courier New" w:eastAsia="Courier New" w:hAnsi="Courier New"/>
          <w:color w:val="000000"/>
          <w:sz w:val="18"/>
          <w:szCs w:val="18"/>
        </w:rPr>
        <w:t xml:space="preserve">     │ StandardScaler     │                   │ POST /predict/batch │</w:t>
      </w:r>
    </w:p>
    <w:p>
      <w:pPr>
        <w:spacing w:after="0" w:before="0" w:line="240" w:lineRule="auto"/>
        <w:jc w:val="left"/>
      </w:pPr>
      <w:r>
        <w:rPr>
          <w:rFonts w:ascii="Courier New" w:cs="Courier New" w:eastAsia="Courier New" w:hAnsi="Courier New"/>
          <w:color w:val="000000"/>
          <w:sz w:val="18"/>
          <w:szCs w:val="18"/>
        </w:rPr>
        <w:t xml:space="preserve">     └─────────┬──────────┘                   │ GET  /health        │</w:t>
      </w:r>
    </w:p>
    <w:p>
      <w:pPr>
        <w:spacing w:after="0" w:before="0" w:line="240" w:lineRule="auto"/>
        <w:jc w:val="left"/>
      </w:pPr>
      <w:r>
        <w:rPr>
          <w:rFonts w:ascii="Courier New" w:cs="Courier New" w:eastAsia="Courier New" w:hAnsi="Courier New"/>
          <w:color w:val="000000"/>
          <w:sz w:val="18"/>
          <w:szCs w:val="18"/>
        </w:rPr>
        <w:t xml:space="preserve">               │                              │ GET  /model/info    │</w:t>
      </w:r>
    </w:p>
    <w:p>
      <w:pPr>
        <w:spacing w:after="0" w:before="0" w:line="240" w:lineRule="auto"/>
        <w:jc w:val="left"/>
      </w:pPr>
      <w:r>
        <w:rPr>
          <w:rFonts w:ascii="Courier New" w:cs="Courier New" w:eastAsia="Courier New" w:hAnsi="Courier New"/>
          <w:color w:val="000000"/>
          <w:sz w:val="18"/>
          <w:szCs w:val="18"/>
        </w:rPr>
        <w:t xml:space="preserve">     ┌─────────▼──────────┐                   └──────────┬──────────┘</w:t>
      </w:r>
    </w:p>
    <w:p>
      <w:pPr>
        <w:spacing w:after="0" w:before="0" w:line="240" w:lineRule="auto"/>
        <w:jc w:val="left"/>
      </w:pPr>
      <w:r>
        <w:rPr>
          <w:rFonts w:ascii="Courier New" w:cs="Courier New" w:eastAsia="Courier New" w:hAnsi="Courier New"/>
          <w:color w:val="000000"/>
          <w:sz w:val="18"/>
          <w:szCs w:val="18"/>
        </w:rPr>
        <w:t xml:space="preserve">     │     model.py       │                              │</w:t>
      </w:r>
    </w:p>
    <w:p>
      <w:pPr>
        <w:spacing w:after="0" w:before="0" w:line="240" w:lineRule="auto"/>
        <w:jc w:val="left"/>
      </w:pPr>
      <w:r>
        <w:rPr>
          <w:rFonts w:ascii="Courier New" w:cs="Courier New" w:eastAsia="Courier New" w:hAnsi="Courier New"/>
          <w:color w:val="000000"/>
          <w:sz w:val="18"/>
          <w:szCs w:val="18"/>
        </w:rPr>
        <w:t xml:space="preserve">     │  ─────────────────  │                   ┌──────────▼──────────┐</w:t>
      </w:r>
    </w:p>
    <w:p>
      <w:pPr>
        <w:spacing w:after="0" w:before="0" w:line="240" w:lineRule="auto"/>
        <w:jc w:val="left"/>
      </w:pPr>
      <w:r>
        <w:rPr>
          <w:rFonts w:ascii="Courier New" w:cs="Courier New" w:eastAsia="Courier New" w:hAnsi="Courier New"/>
          <w:color w:val="000000"/>
          <w:sz w:val="18"/>
          <w:szCs w:val="18"/>
        </w:rPr>
        <w:t xml:space="preserve">     │ RandomForest       │◄──── models/ ─────►│  joblib (сериализ.) │</w:t>
      </w:r>
    </w:p>
    <w:p>
      <w:pPr>
        <w:spacing w:after="0" w:before="0" w:line="240" w:lineRule="auto"/>
        <w:jc w:val="left"/>
      </w:pPr>
      <w:r>
        <w:rPr>
          <w:rFonts w:ascii="Courier New" w:cs="Courier New" w:eastAsia="Courier New" w:hAnsi="Courier New"/>
          <w:color w:val="000000"/>
          <w:sz w:val="18"/>
          <w:szCs w:val="18"/>
        </w:rPr>
        <w:t xml:space="preserve">     │ RandomizedSearchCV │      (.pkl)         │  label_encoders.pkl │</w:t>
      </w:r>
    </w:p>
    <w:p>
      <w:pPr>
        <w:spacing w:after="0" w:before="0" w:line="240" w:lineRule="auto"/>
        <w:jc w:val="left"/>
      </w:pPr>
      <w:r>
        <w:rPr>
          <w:rFonts w:ascii="Courier New" w:cs="Courier New" w:eastAsia="Courier New" w:hAnsi="Courier New"/>
          <w:color w:val="000000"/>
          <w:sz w:val="18"/>
          <w:szCs w:val="18"/>
        </w:rPr>
        <w:t xml:space="preserve">     │ StratifiedKFold    │                   │  scaler.pkl         │</w:t>
      </w:r>
    </w:p>
    <w:p>
      <w:pPr>
        <w:spacing w:after="0" w:before="0" w:line="240" w:lineRule="auto"/>
        <w:jc w:val="left"/>
      </w:pPr>
      <w:r>
        <w:rPr>
          <w:rFonts w:ascii="Courier New" w:cs="Courier New" w:eastAsia="Courier New" w:hAnsi="Courier New"/>
          <w:color w:val="000000"/>
          <w:sz w:val="18"/>
          <w:szCs w:val="18"/>
        </w:rPr>
        <w:t xml:space="preserve">     └─────────┬──────────┘                   │  rf_model.pkl       │</w:t>
      </w:r>
    </w:p>
    <w:p>
      <w:pPr>
        <w:spacing w:after="0" w:before="0" w:line="240" w:lineRule="auto"/>
        <w:jc w:val="left"/>
      </w:pPr>
      <w:r>
        <w:rPr>
          <w:rFonts w:ascii="Courier New" w:cs="Courier New" w:eastAsia="Courier New" w:hAnsi="Courier New"/>
          <w:color w:val="000000"/>
          <w:sz w:val="18"/>
          <w:szCs w:val="18"/>
        </w:rPr>
        <w:t xml:space="preserve">               │                              └─────────────────────┘</w:t>
      </w:r>
    </w:p>
    <w:p>
      <w:pPr>
        <w:spacing w:after="0" w:before="0" w:line="240" w:lineRule="auto"/>
        <w:jc w:val="left"/>
      </w:pPr>
      <w:r>
        <w:rPr>
          <w:rFonts w:ascii="Courier New" w:cs="Courier New" w:eastAsia="Courier New" w:hAnsi="Courier New"/>
          <w:color w:val="000000"/>
          <w:sz w:val="18"/>
          <w:szCs w:val="18"/>
        </w:rPr>
        <w:t xml:space="preserve">     ┌─────────▼──────────┐</w:t>
      </w:r>
    </w:p>
    <w:p>
      <w:pPr>
        <w:spacing w:after="0" w:before="0" w:line="240" w:lineRule="auto"/>
        <w:jc w:val="left"/>
      </w:pPr>
      <w:r>
        <w:rPr>
          <w:rFonts w:ascii="Courier New" w:cs="Courier New" w:eastAsia="Courier New" w:hAnsi="Courier New"/>
          <w:color w:val="000000"/>
          <w:sz w:val="18"/>
          <w:szCs w:val="18"/>
        </w:rPr>
        <w:t xml:space="preserve">     │    evaluator.py    │</w:t>
      </w:r>
    </w:p>
    <w:p>
      <w:pPr>
        <w:spacing w:after="0" w:before="0" w:line="240" w:lineRule="auto"/>
        <w:jc w:val="left"/>
      </w:pPr>
      <w:r>
        <w:rPr>
          <w:rFonts w:ascii="Courier New" w:cs="Courier New" w:eastAsia="Courier New" w:hAnsi="Courier New"/>
          <w:color w:val="000000"/>
          <w:sz w:val="18"/>
          <w:szCs w:val="18"/>
        </w:rPr>
        <w:t xml:space="preserve">     │  ─────────────────  │</w:t>
      </w:r>
    </w:p>
    <w:p>
      <w:pPr>
        <w:spacing w:after="0" w:before="0" w:line="240" w:lineRule="auto"/>
        <w:jc w:val="left"/>
      </w:pPr>
      <w:r>
        <w:rPr>
          <w:rFonts w:ascii="Courier New" w:cs="Courier New" w:eastAsia="Courier New" w:hAnsi="Courier New"/>
          <w:color w:val="000000"/>
          <w:sz w:val="18"/>
          <w:szCs w:val="18"/>
        </w:rPr>
        <w:t xml:space="preserve">     │ Accuracy, F1       │ ──► reports/</w:t>
      </w:r>
    </w:p>
    <w:p>
      <w:pPr>
        <w:spacing w:after="0" w:before="0" w:line="240" w:lineRule="auto"/>
        <w:jc w:val="left"/>
      </w:pPr>
      <w:r>
        <w:rPr>
          <w:rFonts w:ascii="Courier New" w:cs="Courier New" w:eastAsia="Courier New" w:hAnsi="Courier New"/>
          <w:color w:val="000000"/>
          <w:sz w:val="18"/>
          <w:szCs w:val="18"/>
        </w:rPr>
        <w:t xml:space="preserve">     │ Confusion matrix   │     confusion_matrix.png</w:t>
      </w:r>
    </w:p>
    <w:p>
      <w:pPr>
        <w:spacing w:after="0" w:before="0" w:line="240" w:lineRule="auto"/>
        <w:jc w:val="left"/>
      </w:pPr>
      <w:r>
        <w:rPr>
          <w:rFonts w:ascii="Courier New" w:cs="Courier New" w:eastAsia="Courier New" w:hAnsi="Courier New"/>
          <w:color w:val="000000"/>
          <w:sz w:val="18"/>
          <w:szCs w:val="18"/>
        </w:rPr>
        <w:t xml:space="preserve">     │ ROC-кривая         │     roc_curve.png</w:t>
      </w:r>
    </w:p>
    <w:p>
      <w:pPr>
        <w:spacing w:after="0" w:before="0" w:line="240" w:lineRule="auto"/>
        <w:jc w:val="left"/>
      </w:pPr>
      <w:r>
        <w:rPr>
          <w:rFonts w:ascii="Courier New" w:cs="Courier New" w:eastAsia="Courier New" w:hAnsi="Courier New"/>
          <w:color w:val="000000"/>
          <w:sz w:val="18"/>
          <w:szCs w:val="18"/>
        </w:rPr>
        <w:t xml:space="preserve">     │ Feature importance │     feature_importance.png</w:t>
      </w:r>
    </w:p>
    <w:p>
      <w:pPr>
        <w:spacing w:after="0" w:before="0" w:line="240" w:lineRule="auto"/>
        <w:jc w:val="left"/>
      </w:pPr>
      <w:r>
        <w:rPr>
          <w:rFonts w:ascii="Courier New" w:cs="Courier New" w:eastAsia="Courier New" w:hAnsi="Courier New"/>
          <w:color w:val="000000"/>
          <w:sz w:val="18"/>
          <w:szCs w:val="18"/>
        </w:rPr>
        <w:t xml:space="preserve">     └────────────────────┘</w:t>
      </w:r>
    </w:p>
    <w:p>
      <w:pPr>
        <w:spacing w:after="85" w:before="0" w:line="240" w:lineRule="auto"/>
        <w:jc w:val="center"/>
      </w:pPr>
      <w:r>
        <w:rPr>
          <w:rFonts w:ascii="Times New Roman" w:cs="Times New Roman" w:eastAsia="Times New Roman" w:hAnsi="Times New Roman"/>
          <w:b/>
          <w:bCs/>
          <w:color w:val="000000"/>
          <w:sz w:val="24"/>
          <w:szCs w:val="24"/>
        </w:rPr>
        <w:t xml:space="preserve">Рисунок 2.1 — Схема архитектуры разработанного модуля</w:t>
      </w:r>
    </w:p>
    <w:p>
      <w:pPr>
        <w:spacing w:after="0" w:before="0" w:line="360" w:lineRule="auto"/>
        <w:ind w:firstLine="709"/>
        <w:jc w:val="both"/>
      </w:pPr>
      <w:r>
        <w:rPr>
          <w:rFonts w:ascii="Times New Roman" w:cs="Times New Roman" w:eastAsia="Times New Roman" w:hAnsi="Times New Roman"/>
          <w:color w:val="000000"/>
          <w:sz w:val="28"/>
          <w:szCs w:val="28"/>
        </w:rPr>
        <w:t xml:space="preserve">Взаимодействие компонентов организовано следующим образом. При запуске в режиме обучения (--mode train) управляющий модуль main.py последовательно вызывает preprocessing.py, model.py и evaluator.py. При запуске в режиме сервиса (--mode serve) загружается сериализованная модель и запускается Flask-сервер, принимающий входящие запросы.</w:t>
      </w:r>
    </w:p>
    <w:p>
      <w:pPr>
        <w:pStyle w:val="Heading3"/>
      </w:pPr>
      <w:r>
        <w:rPr>
          <w:rFonts w:ascii="Times New Roman" w:cs="Times New Roman" w:eastAsia="Times New Roman" w:hAnsi="Times New Roman"/>
          <w:b/>
          <w:bCs/>
          <w:color w:val="000000"/>
          <w:sz w:val="28"/>
          <w:szCs w:val="28"/>
        </w:rPr>
        <w:t xml:space="preserve">2.2.2 Структура проекта</w:t>
      </w:r>
    </w:p>
    <w:p>
      <w:pPr>
        <w:spacing w:after="0" w:before="0" w:line="360" w:lineRule="auto"/>
        <w:ind w:firstLine="709"/>
        <w:jc w:val="both"/>
      </w:pPr>
      <w:r>
        <w:rPr>
          <w:rFonts w:ascii="Times New Roman" w:cs="Times New Roman" w:eastAsia="Times New Roman" w:hAnsi="Times New Roman"/>
          <w:color w:val="000000"/>
          <w:sz w:val="28"/>
          <w:szCs w:val="28"/>
        </w:rPr>
        <w:t xml:space="preserve">Программный код модуля организован в пакет nsl_kdd_ids. Описание каждого компонента структуры:</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src/config.py — конфигурационные параметры: пути к файлам, список 41 признака NSL-KDD, словарь маппинга меток атак на 5 категорий, гиперпараметры поиска, настройки Flask;</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src/preprocessing.py — загрузка NSL-KDD, кодирование категориальных признаков, формирование целевой переменной, нормализация, сохранение артефактов;</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src/model.py — обучение Random Forest с RandomizedSearchCV, сохранение модели и метаданных;</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src/evaluator.py — вычисление метрик качества и построение трёх графических отчётов;</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src/integration.py — Flask REST API с четырьмя эндпоинтами и журналированием запросов;</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src/utils.py — централизованная настройка логирования, контекстный менеджер замера времени;</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main.py — точка входа с интерфейсом командной строки;</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tests/test_model.py — пять модульных тестов на синтетических данных.</w:t>
      </w:r>
    </w:p>
    <w:p>
      <w:pPr>
        <w:pStyle w:val="Heading2"/>
      </w:pPr>
      <w:r>
        <w:rPr>
          <w:rFonts w:ascii="Times New Roman" w:cs="Times New Roman" w:eastAsia="Times New Roman" w:hAnsi="Times New Roman"/>
          <w:b/>
          <w:bCs/>
          <w:color w:val="000000"/>
          <w:sz w:val="32"/>
          <w:szCs w:val="32"/>
        </w:rPr>
        <w:t xml:space="preserve">2.3 Проектирование модуля предобработки данных</w:t>
      </w:r>
    </w:p>
    <w:p>
      <w:pPr>
        <w:pStyle w:val="Heading3"/>
      </w:pPr>
      <w:r>
        <w:rPr>
          <w:rFonts w:ascii="Times New Roman" w:cs="Times New Roman" w:eastAsia="Times New Roman" w:hAnsi="Times New Roman"/>
          <w:b/>
          <w:bCs/>
          <w:color w:val="000000"/>
          <w:sz w:val="28"/>
          <w:szCs w:val="28"/>
        </w:rPr>
        <w:t xml:space="preserve">2.3.1 Загрузка и разбор набора данных</w:t>
      </w:r>
    </w:p>
    <w:p>
      <w:pPr>
        <w:spacing w:after="0" w:before="0" w:line="360" w:lineRule="auto"/>
        <w:ind w:firstLine="709"/>
        <w:jc w:val="both"/>
      </w:pPr>
      <w:r>
        <w:rPr>
          <w:rFonts w:ascii="Times New Roman" w:cs="Times New Roman" w:eastAsia="Times New Roman" w:hAnsi="Times New Roman"/>
          <w:color w:val="000000"/>
          <w:sz w:val="28"/>
          <w:szCs w:val="28"/>
        </w:rPr>
        <w:t xml:space="preserve">Набор данных NSL-KDD распространяется в виде текстовых файлов без строки заголовков. Каждая запись содержит 43 поля, разделённых запятой: 41 признак сетевого соединения, текстовая метка класса (название атаки) и числовой показатель сложности классификации. При загрузке к данным программно присваиваются имена столбцов из конфигурационного словаря COL_NAMES, последний столбец (сложность) при обучении не используется.</w:t>
      </w:r>
    </w:p>
    <w:p>
      <w:pPr>
        <w:pStyle w:val="Heading3"/>
      </w:pPr>
      <w:r>
        <w:rPr>
          <w:rFonts w:ascii="Times New Roman" w:cs="Times New Roman" w:eastAsia="Times New Roman" w:hAnsi="Times New Roman"/>
          <w:b/>
          <w:bCs/>
          <w:color w:val="000000"/>
          <w:sz w:val="28"/>
          <w:szCs w:val="28"/>
        </w:rPr>
        <w:t xml:space="preserve">2.3.2 Кодирование категориальных признаков</w:t>
      </w:r>
    </w:p>
    <w:p>
      <w:pPr>
        <w:spacing w:after="0" w:before="0" w:line="360" w:lineRule="auto"/>
        <w:ind w:firstLine="709"/>
        <w:jc w:val="both"/>
      </w:pPr>
      <w:r>
        <w:rPr>
          <w:rFonts w:ascii="Times New Roman" w:cs="Times New Roman" w:eastAsia="Times New Roman" w:hAnsi="Times New Roman"/>
          <w:color w:val="000000"/>
          <w:sz w:val="28"/>
          <w:szCs w:val="28"/>
        </w:rPr>
        <w:t xml:space="preserve">Среди 41 признака три являются категориальными: protocol_type (значения tcp, udp, icmp), service (70 уникальных значений в объединённом словаре обеих выборок) и flag (11 значений состояния TCP-соединения). Для их преобразования применяется метод Label Encoding.</w:t>
      </w:r>
    </w:p>
    <w:p>
      <w:pPr>
        <w:spacing w:after="0" w:before="0" w:line="360" w:lineRule="auto"/>
        <w:ind w:firstLine="709"/>
        <w:jc w:val="both"/>
      </w:pPr>
      <w:r>
        <w:rPr>
          <w:rFonts w:ascii="Times New Roman" w:cs="Times New Roman" w:eastAsia="Times New Roman" w:hAnsi="Times New Roman"/>
          <w:color w:val="000000"/>
          <w:sz w:val="28"/>
          <w:szCs w:val="28"/>
        </w:rPr>
        <w:t xml:space="preserve">Ключевой особенностью реализации является обучение кодировщиков на объединённом словаре обеих выборок — это решает типичную проблему NSL-KDD, при которой тестовая выборка KDDTest+ содержит значения признака service, отсутствующие в обучающей. Объекты кодировщиков сохраняются в файл label_encoders.pkl и загружаются при каждом последующем запуске без переобучения.</w:t>
      </w:r>
    </w:p>
    <w:p>
      <w:pPr>
        <w:pStyle w:val="Heading3"/>
      </w:pPr>
      <w:r>
        <w:rPr>
          <w:rFonts w:ascii="Times New Roman" w:cs="Times New Roman" w:eastAsia="Times New Roman" w:hAnsi="Times New Roman"/>
          <w:b/>
          <w:bCs/>
          <w:color w:val="000000"/>
          <w:sz w:val="28"/>
          <w:szCs w:val="28"/>
        </w:rPr>
        <w:t xml:space="preserve">2.3.3 Формирование целевой переменной и нормализация</w:t>
      </w:r>
    </w:p>
    <w:p>
      <w:pPr>
        <w:spacing w:after="0" w:before="0" w:line="360" w:lineRule="auto"/>
        <w:ind w:firstLine="709"/>
        <w:jc w:val="both"/>
      </w:pPr>
      <w:r>
        <w:rPr>
          <w:rFonts w:ascii="Times New Roman" w:cs="Times New Roman" w:eastAsia="Times New Roman" w:hAnsi="Times New Roman"/>
          <w:color w:val="000000"/>
          <w:sz w:val="28"/>
          <w:szCs w:val="28"/>
        </w:rPr>
        <w:t xml:space="preserve">Исходные 23 текстовые метки атак отображаются на 5 числовых классов согласно словарю ATTACK_MAPPING. Словарь включает все типы атак, встречающиеся в тестовой выборке, в том числе редкие подтипы, отсутствующие в обучающей: mailbomb, apache2, mscan, saint, httptunnel, sqlattack и другие. Нормализация 38 числовых признаков выполняется StandardScaler, обученным исключительно на обучающей выборке — это исключает утечку статистики тестовых данных.</w:t>
      </w:r>
    </w:p>
    <w:p>
      <w:pPr>
        <w:pStyle w:val="Heading2"/>
      </w:pPr>
      <w:r>
        <w:rPr>
          <w:rFonts w:ascii="Times New Roman" w:cs="Times New Roman" w:eastAsia="Times New Roman" w:hAnsi="Times New Roman"/>
          <w:b/>
          <w:bCs/>
          <w:color w:val="000000"/>
          <w:sz w:val="32"/>
          <w:szCs w:val="32"/>
        </w:rPr>
        <w:t xml:space="preserve">2.4 Проектирование модуля обучения классификатора</w:t>
      </w:r>
    </w:p>
    <w:p>
      <w:pPr>
        <w:pStyle w:val="Heading3"/>
      </w:pPr>
      <w:r>
        <w:rPr>
          <w:rFonts w:ascii="Times New Roman" w:cs="Times New Roman" w:eastAsia="Times New Roman" w:hAnsi="Times New Roman"/>
          <w:b/>
          <w:bCs/>
          <w:color w:val="000000"/>
          <w:sz w:val="28"/>
          <w:szCs w:val="28"/>
        </w:rPr>
        <w:t xml:space="preserve">2.4.1 Конфигурация Random Forest</w:t>
      </w:r>
    </w:p>
    <w:p>
      <w:pPr>
        <w:spacing w:after="0" w:before="0" w:line="360" w:lineRule="auto"/>
        <w:ind w:firstLine="709"/>
        <w:jc w:val="both"/>
      </w:pPr>
      <w:r>
        <w:rPr>
          <w:rFonts w:ascii="Times New Roman" w:cs="Times New Roman" w:eastAsia="Times New Roman" w:hAnsi="Times New Roman"/>
          <w:color w:val="000000"/>
          <w:sz w:val="28"/>
          <w:szCs w:val="28"/>
        </w:rPr>
        <w:t xml:space="preserve">Классификатор RandomForestClassifier из библиотеки scikit-learn настраивается с параметром class_weight='balanced' для автоматического расчёта весов классов обратно пропорционально их частоте. Параметр random_state=42 фиксирует генератор случайных чисел. Параллелизация обучения (n_jobs=-1) делегируется на уровень RandomizedSearchCV для исключения вложенного избыточного распределения ресурсов.</w:t>
      </w:r>
    </w:p>
    <w:p>
      <w:pPr>
        <w:pStyle w:val="Heading3"/>
      </w:pPr>
      <w:r>
        <w:rPr>
          <w:rFonts w:ascii="Times New Roman" w:cs="Times New Roman" w:eastAsia="Times New Roman" w:hAnsi="Times New Roman"/>
          <w:b/>
          <w:bCs/>
          <w:color w:val="000000"/>
          <w:sz w:val="28"/>
          <w:szCs w:val="28"/>
        </w:rPr>
        <w:t xml:space="preserve">2.4.2 Подбор гиперпараметров</w:t>
      </w:r>
    </w:p>
    <w:p>
      <w:pPr>
        <w:spacing w:after="0" w:before="0" w:line="360" w:lineRule="auto"/>
        <w:ind w:firstLine="709"/>
        <w:jc w:val="both"/>
      </w:pPr>
      <w:r>
        <w:rPr>
          <w:rFonts w:ascii="Times New Roman" w:cs="Times New Roman" w:eastAsia="Times New Roman" w:hAnsi="Times New Roman"/>
          <w:color w:val="000000"/>
          <w:sz w:val="28"/>
          <w:szCs w:val="28"/>
        </w:rPr>
        <w:t xml:space="preserve">Оптимальные значения ключевых гиперпараметров определяются методом случайного поиска (RandomizedSearchCV) с оценкой по метрике F1 macro в режиме стратифицированной кросс-валидации с пятью фолдами (StratifiedKFold). Стратификация обеспечивает сохранение пропорций классов в каждом фолде. Пространство поиска: n_estimators от 100 до 500 с шагом 50; max_depth — None, 10, 20, 30; min_samples_split от 2 до 10. Выполняется 20 случайных итераций — итого 100 подгонок модели.</w:t>
      </w:r>
    </w:p>
    <w:p>
      <w:pPr>
        <w:pStyle w:val="Heading2"/>
      </w:pPr>
      <w:r>
        <w:rPr>
          <w:rFonts w:ascii="Times New Roman" w:cs="Times New Roman" w:eastAsia="Times New Roman" w:hAnsi="Times New Roman"/>
          <w:b/>
          <w:bCs/>
          <w:color w:val="000000"/>
          <w:sz w:val="32"/>
          <w:szCs w:val="32"/>
        </w:rPr>
        <w:t xml:space="preserve">2.5 Проектирование программного интерфейса REST API</w:t>
      </w:r>
    </w:p>
    <w:p>
      <w:pPr>
        <w:pStyle w:val="Heading3"/>
      </w:pPr>
      <w:r>
        <w:rPr>
          <w:rFonts w:ascii="Times New Roman" w:cs="Times New Roman" w:eastAsia="Times New Roman" w:hAnsi="Times New Roman"/>
          <w:b/>
          <w:bCs/>
          <w:color w:val="000000"/>
          <w:sz w:val="28"/>
          <w:szCs w:val="28"/>
        </w:rPr>
        <w:t xml:space="preserve">2.5.1 Выбор архитектурного стиля</w:t>
      </w:r>
    </w:p>
    <w:p>
      <w:pPr>
        <w:spacing w:after="0" w:before="0" w:line="360" w:lineRule="auto"/>
        <w:ind w:firstLine="709"/>
        <w:jc w:val="both"/>
      </w:pPr>
      <w:r>
        <w:rPr>
          <w:rFonts w:ascii="Times New Roman" w:cs="Times New Roman" w:eastAsia="Times New Roman" w:hAnsi="Times New Roman"/>
          <w:color w:val="000000"/>
          <w:sz w:val="28"/>
          <w:szCs w:val="28"/>
        </w:rPr>
        <w:t xml:space="preserve">Для интеграции модуля с внешними системами выбран архитектурный стиль REST (Representational State Transfer). Выбор обусловлен тем, что все рассмотренные российские SIEM-системы поддерживают интеграцию через HTTP REST API. Формат обмена данными — JSON. Реализация выполняется на микрофреймворке Flask 3.x.</w:t>
      </w:r>
    </w:p>
    <w:p>
      <w:pPr>
        <w:pStyle w:val="Heading3"/>
      </w:pPr>
      <w:r>
        <w:rPr>
          <w:rFonts w:ascii="Times New Roman" w:cs="Times New Roman" w:eastAsia="Times New Roman" w:hAnsi="Times New Roman"/>
          <w:b/>
          <w:bCs/>
          <w:color w:val="000000"/>
          <w:sz w:val="28"/>
          <w:szCs w:val="28"/>
        </w:rPr>
        <w:t xml:space="preserve">2.5.2 Описание эндпоинтов</w:t>
      </w:r>
    </w:p>
    <w:p>
      <w:pPr>
        <w:spacing w:after="0" w:before="0" w:line="360" w:lineRule="auto"/>
        <w:ind w:firstLine="709"/>
        <w:jc w:val="both"/>
      </w:pPr>
      <w:r>
        <w:rPr>
          <w:rFonts w:ascii="Times New Roman" w:cs="Times New Roman" w:eastAsia="Times New Roman" w:hAnsi="Times New Roman"/>
          <w:color w:val="000000"/>
          <w:sz w:val="28"/>
          <w:szCs w:val="28"/>
        </w:rPr>
        <w:t xml:space="preserve">Программный интерфейс модуля включает четыре эндпоинта. Их описание представлено в Таблице 2.3.</w:t>
      </w:r>
    </w:p>
    <w:p>
      <w:pPr>
        <w:spacing w:after="0" w:before="85" w:line="240" w:lineRule="auto"/>
        <w:jc w:val="both"/>
      </w:pPr>
      <w:r>
        <w:rPr>
          <w:rFonts w:ascii="Times New Roman" w:cs="Times New Roman" w:eastAsia="Times New Roman" w:hAnsi="Times New Roman"/>
          <w:i/>
          <w:iCs/>
          <w:color w:val="000000"/>
          <w:sz w:val="24"/>
          <w:szCs w:val="24"/>
        </w:rPr>
        <w:t xml:space="preserve">Таблица 2.3 — Описание эндпоинтов REST API модуля</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300"/>
        <w:gridCol w:w="477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Метод</w:t>
            </w:r>
          </w:p>
        </w:tc>
        <w:tc>
          <w:tcPr>
            <w:tcW w:type="dxa" w:w="16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Эндпоинт</w:t>
            </w:r>
          </w:p>
        </w:tc>
        <w:tc>
          <w:tcPr>
            <w:tcW w:type="dxa" w:w="13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Формат</w:t>
            </w:r>
          </w:p>
        </w:tc>
        <w:tc>
          <w:tcPr>
            <w:tcW w:type="dxa" w:w="47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Описание</w:t>
            </w:r>
          </w:p>
        </w:tc>
      </w:tr>
      <w:tr>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POST</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/predict</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JSON</w:t>
            </w:r>
          </w:p>
        </w:tc>
        <w:tc>
          <w:tcPr>
            <w:tcW w:type="dxa" w:w="47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Принимает массив из 41 признака; возвращает predicted_class, class_id, probabilities, timestamp</w:t>
            </w:r>
          </w:p>
        </w:tc>
      </w:tr>
      <w:tr>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POST</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/predict/batch</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JSON</w:t>
            </w:r>
          </w:p>
        </w:tc>
        <w:tc>
          <w:tcPr>
            <w:tcW w:type="dxa" w:w="47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Пакетная классификация до 1 000 записей; возвращает массив результатов в том же порядке</w:t>
            </w:r>
          </w:p>
        </w:tc>
      </w:tr>
      <w:tr>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GET</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/health</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JSON</w:t>
            </w:r>
          </w:p>
        </w:tc>
        <w:tc>
          <w:tcPr>
            <w:tcW w:type="dxa" w:w="47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Статус сервиса (status: ok/error) и время работы с момента запуска (uptime_seconds)</w:t>
            </w:r>
          </w:p>
        </w:tc>
      </w:tr>
      <w:tr>
        <w:tc>
          <w:tcPr>
            <w:tcW w:type="dxa" w:w="14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GET</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/model/info</w:t>
            </w:r>
          </w:p>
        </w:tc>
        <w:tc>
          <w:tcPr>
            <w:tcW w:type="dxa" w:w="13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JSON</w:t>
            </w:r>
          </w:p>
        </w:tc>
        <w:tc>
          <w:tcPr>
            <w:tcW w:type="dxa" w:w="47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Метаданные модели: версия, дата обучения, метрики качества, число признаков, гиперпараметры</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Основным является эндпоинт POST /predict. Входной объект JSON содержит поле features — массив из 41 числового значения в порядке спецификации NSL-KDD. Выходной объект содержит predicted_class (текстовое название: «Normal», «DoS», «Probe», «R2L», «U2R»), class_id (целое 0–4), probabilities (вероятности по каждому классу) и timestamp.</w:t>
      </w:r>
    </w:p>
    <w:p>
      <w:pPr>
        <w:pStyle w:val="Heading2"/>
      </w:pPr>
      <w:r>
        <w:rPr>
          <w:rFonts w:ascii="Times New Roman" w:cs="Times New Roman" w:eastAsia="Times New Roman" w:hAnsi="Times New Roman"/>
          <w:b/>
          <w:bCs/>
          <w:color w:val="000000"/>
          <w:sz w:val="32"/>
          <w:szCs w:val="32"/>
        </w:rPr>
        <w:t xml:space="preserve">2.6 Интеграция с российскими SIEM-системами</w:t>
      </w:r>
    </w:p>
    <w:p>
      <w:pPr>
        <w:spacing w:after="0" w:before="0" w:line="360" w:lineRule="auto"/>
        <w:ind w:firstLine="709"/>
        <w:jc w:val="both"/>
      </w:pPr>
      <w:r>
        <w:rPr>
          <w:rFonts w:ascii="Times New Roman" w:cs="Times New Roman" w:eastAsia="Times New Roman" w:hAnsi="Times New Roman"/>
          <w:color w:val="000000"/>
          <w:sz w:val="28"/>
          <w:szCs w:val="28"/>
        </w:rPr>
        <w:t xml:space="preserve">Разработанный REST API обеспечивает интеграцию с ключевыми российскими SIEM-платформами. Механизмы интеграции представлены в Таблице 2.4.</w:t>
      </w:r>
    </w:p>
    <w:p>
      <w:pPr>
        <w:spacing w:after="0" w:before="85" w:line="240" w:lineRule="auto"/>
        <w:jc w:val="both"/>
      </w:pPr>
      <w:r>
        <w:rPr>
          <w:rFonts w:ascii="Times New Roman" w:cs="Times New Roman" w:eastAsia="Times New Roman" w:hAnsi="Times New Roman"/>
          <w:i/>
          <w:iCs/>
          <w:color w:val="000000"/>
          <w:sz w:val="24"/>
          <w:szCs w:val="24"/>
        </w:rPr>
        <w:t xml:space="preserve">Таблица 2.4 — Интеграция модуля с российскими SIEM-системами</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7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Система</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Производитель</w:t>
            </w:r>
          </w:p>
        </w:tc>
        <w:tc>
          <w:tcPr>
            <w:tcW w:type="dxa" w:w="48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Механизм интеграции с модулем</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MaxPatrol SIEM</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Positive Technologies</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REST API вызывается из правил корреляции через HTTP-коннектор; результат классификации передаётся как атрибут инцидента</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KUMA</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Kaspersky</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Внешний обогатитель (enricher) по REST API; результат добавляется в поле custom_field события</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R-Vision SIEM</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R-Vision</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Интеграция через Syslog и REST API; модуль обогащает события данными о типе атаки</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Wazuh</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Wazuh Inc. (Open-source)</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Активный ответ: Wazuh вызывает модуль для проверки соединения и обогащает алерт результатом</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Модуль реализует меры защиты информации, предусмотренные приказами ФСТЭК: обнаружение вторжений (ОЦЛ.3), регистрацию событий безопасности (РСБ.1) и мониторинг сетевого трафика (СМО.1) [4]. Персональные данные в понимании 152-ФЗ не обрабатываются — анализируемые характеристики сетевых соединений не позволяют идентифицировать конкретное физическое лицо.</w:t>
      </w:r>
    </w:p>
    <w:p>
      <w:pPr>
        <w:spacing w:after="0" w:before="0" w:line="360" w:lineRule="auto"/>
        <w:ind w:firstLine="709"/>
        <w:jc w:val="both"/>
      </w:pPr>
      <w:r>
        <w:rPr>
          <w:rFonts w:ascii="Times New Roman" w:cs="Times New Roman" w:eastAsia="Times New Roman" w:hAnsi="Times New Roman"/>
          <w:color w:val="000000"/>
          <w:sz w:val="28"/>
          <w:szCs w:val="28"/>
        </w:rPr>
        <w:t xml:space="preserve">Для развёртывания на отечественных операционных системах (Astra Linux, РЕД ОС, ALT Linux) используются исключительно кроссплатформенные Python-библиотеки без компиляции нативных модулей. Установка зависимостей выполняется командой pip install -r requirements.txt.</w:t>
      </w:r>
    </w:p>
    <w:p>
      <w:pPr>
        <w:pStyle w:val="Heading2"/>
      </w:pPr>
      <w:r>
        <w:rPr>
          <w:rFonts w:ascii="Times New Roman" w:cs="Times New Roman" w:eastAsia="Times New Roman" w:hAnsi="Times New Roman"/>
          <w:b/>
          <w:bCs/>
          <w:color w:val="000000"/>
          <w:sz w:val="32"/>
          <w:szCs w:val="32"/>
        </w:rPr>
        <w:t xml:space="preserve">2.7 Выбор и обоснование стека технологий</w:t>
      </w:r>
    </w:p>
    <w:p>
      <w:pPr>
        <w:spacing w:after="0" w:before="0" w:line="360" w:lineRule="auto"/>
        <w:ind w:firstLine="709"/>
        <w:jc w:val="both"/>
      </w:pPr>
      <w:r>
        <w:rPr>
          <w:rFonts w:ascii="Times New Roman" w:cs="Times New Roman" w:eastAsia="Times New Roman" w:hAnsi="Times New Roman"/>
          <w:color w:val="000000"/>
          <w:sz w:val="28"/>
          <w:szCs w:val="28"/>
        </w:rPr>
        <w:t xml:space="preserve">На основании сформулированных требований и архитектурных решений определён стек технологий для реализации модуля. Обоснование каждого компонента представлено в Таблице 2.5.</w:t>
      </w:r>
    </w:p>
    <w:p>
      <w:pPr>
        <w:spacing w:after="0" w:before="85" w:line="240" w:lineRule="auto"/>
        <w:jc w:val="both"/>
      </w:pPr>
      <w:r>
        <w:rPr>
          <w:rFonts w:ascii="Times New Roman" w:cs="Times New Roman" w:eastAsia="Times New Roman" w:hAnsi="Times New Roman"/>
          <w:i/>
          <w:iCs/>
          <w:color w:val="000000"/>
          <w:sz w:val="24"/>
          <w:szCs w:val="24"/>
        </w:rPr>
        <w:t xml:space="preserve">Таблица 2.5 — Стек технологий разрабатываемого модуля</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7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Компонент</w:t>
            </w:r>
          </w:p>
        </w:tc>
        <w:tc>
          <w:tcPr>
            <w:tcW w:type="dxa" w:w="22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Технология</w:t>
            </w:r>
          </w:p>
        </w:tc>
        <w:tc>
          <w:tcPr>
            <w:tcW w:type="dxa" w:w="48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Обоснование выбора</w:t>
            </w:r>
          </w:p>
        </w:tc>
      </w:tr>
      <w:tr>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Язык программирования</w:t>
            </w:r>
          </w:p>
        </w:tc>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Python 3.10+</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Де-факто стандарт для задач машинного обучения; богатая экосистема; кроссплатформенность; совместимость с отечественными ОС</w:t>
            </w:r>
          </w:p>
        </w:tc>
      </w:tr>
      <w:tr>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Обработка данных</w:t>
            </w:r>
          </w:p>
        </w:tc>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pandas 2.x, numpy 1.x</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Эффективная работа с табличными данными NSL-KDD; поддержка векторизованных операций; совместимость с scikit-learn</w:t>
            </w:r>
          </w:p>
        </w:tc>
      </w:tr>
      <w:tr>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Машинное обучение</w:t>
            </w:r>
          </w:p>
        </w:tc>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scikit-learn 1.x</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RandomForestClassifier с class_weight, RandomizedSearchCV, StratifiedKFold, метрики; стабильный API</w:t>
            </w:r>
          </w:p>
        </w:tc>
      </w:tr>
      <w:tr>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Сериализация</w:t>
            </w:r>
          </w:p>
        </w:tc>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joblib 1.x</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Эффективное сохранение/загрузка объектов scikit-learn; сжатие; встроен в scikit-learn</w:t>
            </w:r>
          </w:p>
        </w:tc>
      </w:tr>
      <w:tr>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REST API</w:t>
            </w:r>
          </w:p>
        </w:tc>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Flask 3.x</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Минималистичный фреймворк; достаточная производительность для IDS-интеграции; поддержка WSGI</w:t>
            </w:r>
          </w:p>
        </w:tc>
      </w:tr>
      <w:tr>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Визуализация</w:t>
            </w:r>
          </w:p>
        </w:tc>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matplotlib, seaborn</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Матрица ошибок, ROC-кривая, важность признаков; стандарт для ML-отчётности</w:t>
            </w:r>
          </w:p>
        </w:tc>
      </w:tr>
      <w:tr>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Тестирование</w:t>
            </w:r>
          </w:p>
        </w:tc>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pytest 7.x</w:t>
            </w:r>
          </w:p>
        </w:tc>
        <w:tc>
          <w:tcPr>
            <w:tcW w:type="dxa" w:w="48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5 модульных тестов на синтетических данных; независимость от NSL-KDD при тестировании</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Все выбранные технологии распространяются под лицензиями BSD, MIT или Apache 2.0, совместимыми с коммерческим использованием. Это исключает лицензионные риски при внедрении модуля на российских предприятиях и соответствует политике импортозамещения в части использования открытого программного обеспечения.</w:t>
      </w:r>
    </w:p>
    <w:p>
      <w:pPr>
        <w:pStyle w:val="Heading2"/>
      </w:pPr>
      <w:r>
        <w:rPr>
          <w:rFonts w:ascii="Times New Roman" w:cs="Times New Roman" w:eastAsia="Times New Roman" w:hAnsi="Times New Roman"/>
          <w:b/>
          <w:bCs/>
          <w:color w:val="000000"/>
          <w:sz w:val="32"/>
          <w:szCs w:val="32"/>
        </w:rPr>
        <w:t xml:space="preserve">2.8 Выводы по второй главе</w:t>
      </w:r>
    </w:p>
    <w:p>
      <w:pPr>
        <w:spacing w:after="0" w:before="0" w:line="360" w:lineRule="auto"/>
        <w:ind w:firstLine="709"/>
        <w:jc w:val="both"/>
      </w:pPr>
      <w:r>
        <w:rPr>
          <w:rFonts w:ascii="Times New Roman" w:cs="Times New Roman" w:eastAsia="Times New Roman" w:hAnsi="Times New Roman"/>
          <w:color w:val="000000"/>
          <w:sz w:val="28"/>
          <w:szCs w:val="28"/>
        </w:rPr>
        <w:t xml:space="preserve">В ходе проектирования модуля интеграции системы обнаружения вторжений получены следующие основные результаты.</w:t>
      </w:r>
    </w:p>
    <w:p>
      <w:pPr>
        <w:spacing w:after="0" w:before="0" w:line="360" w:lineRule="auto"/>
        <w:ind w:firstLine="709"/>
        <w:jc w:val="both"/>
      </w:pPr>
      <w:r>
        <w:rPr>
          <w:rFonts w:ascii="Times New Roman" w:cs="Times New Roman" w:eastAsia="Times New Roman" w:hAnsi="Times New Roman"/>
          <w:color w:val="000000"/>
          <w:sz w:val="28"/>
          <w:szCs w:val="28"/>
        </w:rPr>
        <w:t xml:space="preserve">Сформулированы функциональные (ФТ-01 — ФТ-06) и нефункциональные (НТ-01 — НТ-05) требования к модулю. Спроектирована пятикомпонентная архитектура на принципе разделения ответственности, обеспечивающая независимое тестирование и замену классификатора без изменения интерфейса API. Разработана схема предобработки данных NSL-KDD, включающая кодирование категориальных признаков на объединённом словаре, формирование пятиклассовой целевой переменной и нормализацию числовых признаков без утечки данных. Спроектированы четыре эндпоинта REST API, совместимых с российскими SIEM-системами MaxPatrol SIEM, Kaspersky KUMA, R-Vision SIEM и Wazuh. Определён стек технологий на базе Python 3.10 с использованием scikit-learn, Flask и joblib.</w:t>
      </w:r>
    </w:p>
    <w:p>
      <w:pPr>
        <w:pStyle w:val="Heading1"/>
      </w:pPr>
      <w:r>
        <w:rPr>
          <w:rFonts w:ascii="Times New Roman" w:cs="Times New Roman" w:eastAsia="Times New Roman" w:hAnsi="Times New Roman"/>
          <w:b/>
          <w:bCs/>
          <w:caps/>
          <w:color w:val="000000"/>
          <w:sz w:val="36"/>
          <w:szCs w:val="36"/>
        </w:rPr>
        <w:t xml:space="preserve">3 РЕАЛИЗАЦИЯ МОДУЛЯ И АНАЛИЗ РЕЗУЛЬТАТОВ</w:t>
      </w:r>
    </w:p>
    <w:p>
      <w:pPr>
        <w:pStyle w:val="Heading2"/>
      </w:pPr>
      <w:r>
        <w:rPr>
          <w:rFonts w:ascii="Times New Roman" w:cs="Times New Roman" w:eastAsia="Times New Roman" w:hAnsi="Times New Roman"/>
          <w:b/>
          <w:bCs/>
          <w:color w:val="000000"/>
          <w:sz w:val="32"/>
          <w:szCs w:val="32"/>
        </w:rPr>
        <w:t xml:space="preserve">3.1 Подготовка среды разработки</w:t>
      </w:r>
    </w:p>
    <w:p>
      <w:pPr>
        <w:pStyle w:val="Heading3"/>
      </w:pPr>
      <w:r>
        <w:rPr>
          <w:rFonts w:ascii="Times New Roman" w:cs="Times New Roman" w:eastAsia="Times New Roman" w:hAnsi="Times New Roman"/>
          <w:b/>
          <w:bCs/>
          <w:color w:val="000000"/>
          <w:sz w:val="28"/>
          <w:szCs w:val="28"/>
        </w:rPr>
        <w:t xml:space="preserve">3.1.1 Используемые программные средства</w:t>
      </w:r>
    </w:p>
    <w:p>
      <w:pPr>
        <w:spacing w:after="0" w:before="0" w:line="360" w:lineRule="auto"/>
        <w:ind w:firstLine="709"/>
        <w:jc w:val="both"/>
      </w:pPr>
      <w:r>
        <w:rPr>
          <w:rFonts w:ascii="Times New Roman" w:cs="Times New Roman" w:eastAsia="Times New Roman" w:hAnsi="Times New Roman"/>
          <w:color w:val="000000"/>
          <w:sz w:val="28"/>
          <w:szCs w:val="28"/>
        </w:rPr>
        <w:t xml:space="preserve">Разработка модуля выполнялась на операционной системе Ubuntu 22.04 LTS с использованием интегрированной среды разработки PyCharm Professional. Выбор Linux-платформы обусловлен требованием НТ-03: модуль должен функционировать на отечественных операционных системах на базе ядра Linux, а Ubuntu является наиболее распространённой базой для Astra Linux и РЕД ОС. Полный перечень программных средств с версиями представлен в Таблице 3.1.</w:t>
      </w:r>
    </w:p>
    <w:p>
      <w:pPr>
        <w:spacing w:after="0" w:before="85" w:line="240" w:lineRule="auto"/>
        <w:jc w:val="both"/>
      </w:pPr>
      <w:r>
        <w:rPr>
          <w:rFonts w:ascii="Times New Roman" w:cs="Times New Roman" w:eastAsia="Times New Roman" w:hAnsi="Times New Roman"/>
          <w:i/>
          <w:iCs/>
          <w:color w:val="000000"/>
          <w:sz w:val="24"/>
          <w:szCs w:val="24"/>
        </w:rPr>
        <w:t xml:space="preserve">Таблица 3.1 — Программные средства, использованные при разработке</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7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Компонент</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Версия</w:t>
            </w:r>
          </w:p>
        </w:tc>
        <w:tc>
          <w:tcPr>
            <w:tcW w:type="dxa" w:w="45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Назначение</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Python</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3.10.12</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Основной язык программирования модуля</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scikit-learn</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1.4.2</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RandomForestClassifier, RandomizedSearchCV, StratifiedKFold, метрики качества</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pandas</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2.2.1</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Загрузка и обработка табличных данных NSL-KDD</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numpy</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1.26.4</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Векторные операции, формирование матриц признаков</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matplotlib / seaborn</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3.8.3 / 0.13.2</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Матрица ошибок, ROC-кривая, важность признаков</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joblib</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1.3.2</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Сериализация модели, кодировщиков и масштабировщика</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Flask</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3.0.2</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REST API для интеграции модуля с SIEM-системами</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pytest</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7.4.4</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Модульное тестирование компонентов</w:t>
            </w:r>
          </w:p>
        </w:tc>
      </w:tr>
      <w:tr>
        <w:tc>
          <w:tcPr>
            <w:tcW w:type="dxa" w:w="2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ОС</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Ubuntu 22.04 LTS</w:t>
            </w:r>
          </w:p>
        </w:tc>
        <w:tc>
          <w:tcPr>
            <w:tcW w:type="dxa" w:w="45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Операционная система разработки и тестирования</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Все перечисленные библиотеки распространяются под лицензиями BSD, MIT или Apache 2.0. Установка зависимостей выполняется единой командой pip install -r requirements.txt, что обеспечивает воспроизводимость среды на любом совместимом хосте — в том числе под управлением отечественных операционных систем.</w:t>
      </w:r>
    </w:p>
    <w:p>
      <w:pPr>
        <w:pStyle w:val="Heading3"/>
      </w:pPr>
      <w:r>
        <w:rPr>
          <w:rFonts w:ascii="Times New Roman" w:cs="Times New Roman" w:eastAsia="Times New Roman" w:hAnsi="Times New Roman"/>
          <w:b/>
          <w:bCs/>
          <w:color w:val="000000"/>
          <w:sz w:val="28"/>
          <w:szCs w:val="28"/>
        </w:rPr>
        <w:t xml:space="preserve">3.1.2 Организация проекта</w:t>
      </w:r>
    </w:p>
    <w:p>
      <w:pPr>
        <w:spacing w:after="0" w:before="0" w:line="360" w:lineRule="auto"/>
        <w:ind w:firstLine="709"/>
        <w:jc w:val="both"/>
      </w:pPr>
      <w:r>
        <w:rPr>
          <w:rFonts w:ascii="Times New Roman" w:cs="Times New Roman" w:eastAsia="Times New Roman" w:hAnsi="Times New Roman"/>
          <w:color w:val="000000"/>
          <w:sz w:val="28"/>
          <w:szCs w:val="28"/>
        </w:rPr>
        <w:t xml:space="preserve">Программный код организован в пакет nsl_kdd_ids. Для каждого программного компонента созданы соответствующие директории согласно архитектуре, спроектированной в главе 2. Модульные тесты (5 тестов) покрывают ключевые функции: загрузку данных, предобработку, классификацию и API-эндпоинты. Тесты выполняются на синтетических данных без зависимости от реальных файлов NSL-KDD, что обеспечивает их автономность в среде CI/CD.</w:t>
      </w:r>
    </w:p>
    <w:p>
      <w:pPr>
        <w:pStyle w:val="Heading2"/>
      </w:pPr>
      <w:r>
        <w:rPr>
          <w:rFonts w:ascii="Times New Roman" w:cs="Times New Roman" w:eastAsia="Times New Roman" w:hAnsi="Times New Roman"/>
          <w:b/>
          <w:bCs/>
          <w:color w:val="000000"/>
          <w:sz w:val="32"/>
          <w:szCs w:val="32"/>
        </w:rPr>
        <w:t xml:space="preserve">3.2 Реализация модуля предобработки данных</w:t>
      </w:r>
    </w:p>
    <w:p>
      <w:pPr>
        <w:pStyle w:val="Heading3"/>
      </w:pPr>
      <w:r>
        <w:rPr>
          <w:rFonts w:ascii="Times New Roman" w:cs="Times New Roman" w:eastAsia="Times New Roman" w:hAnsi="Times New Roman"/>
          <w:b/>
          <w:bCs/>
          <w:color w:val="000000"/>
          <w:sz w:val="28"/>
          <w:szCs w:val="28"/>
        </w:rPr>
        <w:t xml:space="preserve">3.2.1 Загрузка набора данных</w:t>
      </w:r>
    </w:p>
    <w:p>
      <w:pPr>
        <w:spacing w:after="0" w:before="0" w:line="360" w:lineRule="auto"/>
        <w:ind w:firstLine="709"/>
        <w:jc w:val="both"/>
      </w:pPr>
      <w:r>
        <w:rPr>
          <w:rFonts w:ascii="Times New Roman" w:cs="Times New Roman" w:eastAsia="Times New Roman" w:hAnsi="Times New Roman"/>
          <w:color w:val="000000"/>
          <w:sz w:val="28"/>
          <w:szCs w:val="28"/>
        </w:rPr>
        <w:t xml:space="preserve">Набор данных NSL-KDD получен с официального репозитория Канадского института кибербезопасности Университета Нью-Брансуика. В ходе загрузки установлены фактические размеры выборок: KDDTrain+.txt — 125 973 записи (43 столбца), KDDTest+.txt — 22 544 записи. Поскольку файлы не содержат заголовков, имена столбцов присваиваются программно из конфигурационного словаря COL_NAMES, содержащего все 43 наименования в оригинальном порядке.</w:t>
      </w:r>
    </w:p>
    <w:p>
      <w:pPr>
        <w:pStyle w:val="Heading3"/>
      </w:pPr>
      <w:r>
        <w:rPr>
          <w:rFonts w:ascii="Times New Roman" w:cs="Times New Roman" w:eastAsia="Times New Roman" w:hAnsi="Times New Roman"/>
          <w:b/>
          <w:bCs/>
          <w:color w:val="000000"/>
          <w:sz w:val="28"/>
          <w:szCs w:val="28"/>
        </w:rPr>
        <w:t xml:space="preserve">3.2.2 Кодирование и нормализация</w:t>
      </w:r>
    </w:p>
    <w:p>
      <w:pPr>
        <w:spacing w:after="0" w:before="0" w:line="360" w:lineRule="auto"/>
        <w:ind w:firstLine="709"/>
        <w:jc w:val="both"/>
      </w:pPr>
      <w:r>
        <w:rPr>
          <w:rFonts w:ascii="Times New Roman" w:cs="Times New Roman" w:eastAsia="Times New Roman" w:hAnsi="Times New Roman"/>
          <w:color w:val="000000"/>
          <w:sz w:val="28"/>
          <w:szCs w:val="28"/>
        </w:rPr>
        <w:t xml:space="preserve">Признак protocol_type имеет 3 уникальных значения, service — 70 в объединённом словаре (60 в обучающей и дополнительные 10 только в тестовой), flag — 11. Кодировщики обучены на объединённом словаре, что исключает ошибки при встрече новых значений в тестовой выборке. Распределение классов в обеих выборках представлено в Таблице 3.2.</w:t>
      </w:r>
    </w:p>
    <w:p>
      <w:pPr>
        <w:spacing w:after="0" w:before="85" w:line="240" w:lineRule="auto"/>
        <w:jc w:val="both"/>
      </w:pPr>
      <w:r>
        <w:rPr>
          <w:rFonts w:ascii="Times New Roman" w:cs="Times New Roman" w:eastAsia="Times New Roman" w:hAnsi="Times New Roman"/>
          <w:i/>
          <w:iCs/>
          <w:color w:val="000000"/>
          <w:sz w:val="24"/>
          <w:szCs w:val="24"/>
        </w:rPr>
        <w:t xml:space="preserve">Таблица 3.2 — Распределение классов в обучающей и тестовой выборках NSL-KDD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600"/>
        <w:gridCol w:w="167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Класс</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Записей в KDDTrain+</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Доля train, %</w:t>
            </w:r>
          </w:p>
        </w:tc>
        <w:tc>
          <w:tcPr>
            <w:tcW w:type="dxa" w:w="16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Записей в KDDTest+</w:t>
            </w:r>
          </w:p>
        </w:tc>
        <w:tc>
          <w:tcPr>
            <w:tcW w:type="dxa" w:w="16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Доля test, %</w:t>
            </w:r>
          </w:p>
        </w:tc>
      </w:tr>
      <w:tr>
        <w:tc>
          <w:tcPr>
            <w:tcW w:type="dxa" w:w="18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Normal</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67 343</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53,5</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9 711</w:t>
            </w:r>
          </w:p>
        </w:tc>
        <w:tc>
          <w:tcPr>
            <w:tcW w:type="dxa" w:w="16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43,1</w:t>
            </w:r>
          </w:p>
        </w:tc>
      </w:tr>
      <w:tr>
        <w:tc>
          <w:tcPr>
            <w:tcW w:type="dxa" w:w="18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DoS</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45 927</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36,5</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7 460</w:t>
            </w:r>
          </w:p>
        </w:tc>
        <w:tc>
          <w:tcPr>
            <w:tcW w:type="dxa" w:w="16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33,1</w:t>
            </w:r>
          </w:p>
        </w:tc>
      </w:tr>
      <w:tr>
        <w:tc>
          <w:tcPr>
            <w:tcW w:type="dxa" w:w="18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Probe</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11 656</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9,3</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2 421</w:t>
            </w:r>
          </w:p>
        </w:tc>
        <w:tc>
          <w:tcPr>
            <w:tcW w:type="dxa" w:w="16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10,7</w:t>
            </w:r>
          </w:p>
        </w:tc>
      </w:tr>
      <w:tr>
        <w:tc>
          <w:tcPr>
            <w:tcW w:type="dxa" w:w="18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R2L</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995</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0,8</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2 885</w:t>
            </w:r>
          </w:p>
        </w:tc>
        <w:tc>
          <w:tcPr>
            <w:tcW w:type="dxa" w:w="16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12,8</w:t>
            </w:r>
          </w:p>
        </w:tc>
      </w:tr>
      <w:tr>
        <w:tc>
          <w:tcPr>
            <w:tcW w:type="dxa" w:w="18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U2R</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52</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0,04</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67</w:t>
            </w:r>
          </w:p>
        </w:tc>
        <w:tc>
          <w:tcPr>
            <w:tcW w:type="dxa" w:w="16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0,3</w:t>
            </w:r>
          </w:p>
        </w:tc>
      </w:tr>
      <w:tr>
        <w:tc>
          <w:tcPr>
            <w:tcW w:type="dxa" w:w="18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Итого</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125 973</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100</w:t>
            </w:r>
          </w:p>
        </w:tc>
        <w:tc>
          <w:tcPr>
            <w:tcW w:type="dxa" w:w="16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22 544</w:t>
            </w:r>
          </w:p>
        </w:tc>
        <w:tc>
          <w:tcPr>
            <w:tcW w:type="dxa" w:w="16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100</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Из Таблицы 3.2 видно существенное расхождение распределения для класса R2L: в обучающей выборке он составляет 0,8% (995 записей), тогда как в тестовой — 12,8% (2 885 записей). Кроме того, тестовая выборка содержит 17 подтипов атак классов R2L и U2R, полностью отсутствующих в обучающей. Это намеренная особенность NSL-KDD для объективной оценки обобщающей способности модели [8].</w:t>
      </w:r>
    </w:p>
    <w:p>
      <w:pPr>
        <w:pStyle w:val="Heading2"/>
      </w:pPr>
      <w:r>
        <w:rPr>
          <w:rFonts w:ascii="Times New Roman" w:cs="Times New Roman" w:eastAsia="Times New Roman" w:hAnsi="Times New Roman"/>
          <w:b/>
          <w:bCs/>
          <w:color w:val="000000"/>
          <w:sz w:val="32"/>
          <w:szCs w:val="32"/>
        </w:rPr>
        <w:t xml:space="preserve">3.3 Обучение и настройка гиперпараметров классификатора</w:t>
      </w:r>
    </w:p>
    <w:p>
      <w:pPr>
        <w:pStyle w:val="Heading3"/>
      </w:pPr>
      <w:r>
        <w:rPr>
          <w:rFonts w:ascii="Times New Roman" w:cs="Times New Roman" w:eastAsia="Times New Roman" w:hAnsi="Times New Roman"/>
          <w:b/>
          <w:bCs/>
          <w:color w:val="000000"/>
          <w:sz w:val="28"/>
          <w:szCs w:val="28"/>
        </w:rPr>
        <w:t xml:space="preserve">3.3.1 Запуск и параметры обучения</w:t>
      </w:r>
    </w:p>
    <w:p>
      <w:pPr>
        <w:spacing w:after="0" w:before="0" w:line="360" w:lineRule="auto"/>
        <w:ind w:firstLine="709"/>
        <w:jc w:val="both"/>
      </w:pPr>
      <w:r>
        <w:rPr>
          <w:rFonts w:ascii="Times New Roman" w:cs="Times New Roman" w:eastAsia="Times New Roman" w:hAnsi="Times New Roman"/>
          <w:color w:val="000000"/>
          <w:sz w:val="28"/>
          <w:szCs w:val="28"/>
        </w:rPr>
        <w:t xml:space="preserve">Обучение классификатора выполнялось методом случайного поиска гиперпараметров (RandomizedSearchCV) с оценкой по метрике F1 macro в режиме стратифицированной кросс-валидации с пятью фолдами (StratifiedKFold). Всего выполнено 20 итераций случайного поиска — итого 100 независимых подгонок модели. Параметр class_weight='balanced' зафиксирован для всех итераций. Общее время поиска составило 277,4 секунды.</w:t>
      </w:r>
    </w:p>
    <w:p>
      <w:pPr>
        <w:pStyle w:val="Heading3"/>
      </w:pPr>
      <w:r>
        <w:rPr>
          <w:rFonts w:ascii="Times New Roman" w:cs="Times New Roman" w:eastAsia="Times New Roman" w:hAnsi="Times New Roman"/>
          <w:b/>
          <w:bCs/>
          <w:color w:val="000000"/>
          <w:sz w:val="28"/>
          <w:szCs w:val="28"/>
        </w:rPr>
        <w:t xml:space="preserve">3.3.2 Результаты подбора гиперпараметров</w:t>
      </w:r>
    </w:p>
    <w:p>
      <w:pPr>
        <w:spacing w:after="0" w:before="0" w:line="360" w:lineRule="auto"/>
        <w:ind w:firstLine="709"/>
        <w:jc w:val="both"/>
      </w:pPr>
      <w:r>
        <w:rPr>
          <w:rFonts w:ascii="Times New Roman" w:cs="Times New Roman" w:eastAsia="Times New Roman" w:hAnsi="Times New Roman"/>
          <w:color w:val="000000"/>
          <w:sz w:val="28"/>
          <w:szCs w:val="28"/>
        </w:rPr>
        <w:t xml:space="preserve">По результатам случайного поиска определены оптимальные гиперпараметры. Результаты представлены в Таблице 3.3.</w:t>
      </w:r>
    </w:p>
    <w:p>
      <w:pPr>
        <w:spacing w:after="0" w:before="85" w:line="240" w:lineRule="auto"/>
        <w:jc w:val="both"/>
      </w:pPr>
      <w:r>
        <w:rPr>
          <w:rFonts w:ascii="Times New Roman" w:cs="Times New Roman" w:eastAsia="Times New Roman" w:hAnsi="Times New Roman"/>
          <w:i/>
          <w:iCs/>
          <w:color w:val="000000"/>
          <w:sz w:val="24"/>
          <w:szCs w:val="24"/>
        </w:rPr>
        <w:t xml:space="preserve">Таблица 3.3 — Результаты подбора гиперпараметров Random Forest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7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Гиперпараметр</w:t>
            </w:r>
          </w:p>
        </w:tc>
        <w:tc>
          <w:tcPr>
            <w:tcW w:type="dxa" w:w="20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Оптимальное значение</w:t>
            </w:r>
          </w:p>
        </w:tc>
        <w:tc>
          <w:tcPr>
            <w:tcW w:type="dxa" w:w="40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Комментарий</w:t>
            </w:r>
          </w:p>
        </w:tc>
      </w:tr>
      <w:tr>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n_estimators</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500</w:t>
            </w:r>
          </w:p>
        </w:tc>
        <w:tc>
          <w:tcPr>
            <w:tcW w:type="dxa" w:w="40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Максимум из диапазона поиска; большее число деревьев повышает стабильность предсказаний</w:t>
            </w:r>
          </w:p>
        </w:tc>
      </w:tr>
      <w:tr>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max_depth</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30</w:t>
            </w:r>
          </w:p>
        </w:tc>
        <w:tc>
          <w:tcPr>
            <w:tcW w:type="dxa" w:w="40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Умеренное ограничение глубины снижает переобучение при сохранении выразительности</w:t>
            </w:r>
          </w:p>
        </w:tc>
      </w:tr>
      <w:tr>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min_samples_split</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7</w:t>
            </w:r>
          </w:p>
        </w:tc>
        <w:tc>
          <w:tcPr>
            <w:tcW w:type="dxa" w:w="40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Минимум 7 записей для разбиения узла — дополнительная регуляризация</w:t>
            </w:r>
          </w:p>
        </w:tc>
      </w:tr>
      <w:tr>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class_weight</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balanced</w:t>
            </w:r>
          </w:p>
        </w:tc>
        <w:tc>
          <w:tcPr>
            <w:tcW w:type="dxa" w:w="40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Автоматический расчёт весов классов обратно пропорционально их частоте</w:t>
            </w:r>
          </w:p>
        </w:tc>
      </w:tr>
      <w:tr>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random_state</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42</w:t>
            </w:r>
          </w:p>
        </w:tc>
        <w:tc>
          <w:tcPr>
            <w:tcW w:type="dxa" w:w="40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Фиксация генератора случайных чисел для воспроизводимости результатов</w:t>
            </w:r>
          </w:p>
        </w:tc>
      </w:tr>
      <w:tr>
        <w:tc>
          <w:tcPr>
            <w:tcW w:type="dxa" w:w="3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CV F1 macro (лучший)</w:t>
            </w:r>
          </w:p>
        </w:tc>
        <w:tc>
          <w:tcPr>
            <w:tcW w:type="dxa" w:w="20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0,9344</w:t>
            </w:r>
          </w:p>
        </w:tc>
        <w:tc>
          <w:tcPr>
            <w:tcW w:type="dxa" w:w="40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color w:val="000000"/>
                <w:sz w:val="24"/>
                <w:szCs w:val="24"/>
              </w:rPr>
              <w:t xml:space="preserve">Средняя метрика по 5 фолдам кросс-валидации на обучающей выборке</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Оптимальное значение n_estimators=500 соответствует верхней границе диапазона поиска, подтверждая известное свойство Random Forest: увеличение числа деревьев монотонно улучшает стабильность предсказаний. Достигнутая метрика CV F1 macro = 0,9344 свидетельствует о высоком качестве классификатора на распределении обучающей выборки.</w:t>
      </w:r>
    </w:p>
    <w:p>
      <w:pPr>
        <w:pStyle w:val="Heading2"/>
      </w:pPr>
      <w:r>
        <w:rPr>
          <w:rFonts w:ascii="Times New Roman" w:cs="Times New Roman" w:eastAsia="Times New Roman" w:hAnsi="Times New Roman"/>
          <w:b/>
          <w:bCs/>
          <w:color w:val="000000"/>
          <w:sz w:val="32"/>
          <w:szCs w:val="32"/>
        </w:rPr>
        <w:t xml:space="preserve">3.4 Анализ результатов классификации</w:t>
      </w:r>
    </w:p>
    <w:p>
      <w:pPr>
        <w:pStyle w:val="Heading3"/>
      </w:pPr>
      <w:r>
        <w:rPr>
          <w:rFonts w:ascii="Times New Roman" w:cs="Times New Roman" w:eastAsia="Times New Roman" w:hAnsi="Times New Roman"/>
          <w:b/>
          <w:bCs/>
          <w:color w:val="000000"/>
          <w:sz w:val="28"/>
          <w:szCs w:val="28"/>
        </w:rPr>
        <w:t xml:space="preserve">3.4.1 Метрики качества на тестовой выборке</w:t>
      </w:r>
    </w:p>
    <w:p>
      <w:pPr>
        <w:spacing w:after="0" w:before="0" w:line="360" w:lineRule="auto"/>
        <w:ind w:firstLine="709"/>
        <w:jc w:val="both"/>
      </w:pPr>
      <w:r>
        <w:rPr>
          <w:rFonts w:ascii="Times New Roman" w:cs="Times New Roman" w:eastAsia="Times New Roman" w:hAnsi="Times New Roman"/>
          <w:color w:val="000000"/>
          <w:sz w:val="28"/>
          <w:szCs w:val="28"/>
        </w:rPr>
        <w:t xml:space="preserve">После завершения обучения модель оценена на тестовой выборке KDDTest+ (22 544 записи). Детальные результаты по каждому классу представлены в Таблице 3.4.</w:t>
      </w:r>
    </w:p>
    <w:p>
      <w:pPr>
        <w:spacing w:after="0" w:before="85" w:line="240" w:lineRule="auto"/>
        <w:jc w:val="both"/>
      </w:pPr>
      <w:r>
        <w:rPr>
          <w:rFonts w:ascii="Times New Roman" w:cs="Times New Roman" w:eastAsia="Times New Roman" w:hAnsi="Times New Roman"/>
          <w:i/>
          <w:iCs/>
          <w:color w:val="000000"/>
          <w:sz w:val="24"/>
          <w:szCs w:val="24"/>
        </w:rPr>
        <w:t xml:space="preserve">Таблица 3.4 — Метрики качества классификатора на тестовой выборке KDDTest+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37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Класс</w:t>
            </w:r>
          </w:p>
        </w:tc>
        <w:tc>
          <w:tcPr>
            <w:tcW w:type="dxa" w:w="15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Precision</w:t>
            </w:r>
          </w:p>
        </w:tc>
        <w:tc>
          <w:tcPr>
            <w:tcW w:type="dxa" w:w="15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Recall</w:t>
            </w:r>
          </w:p>
        </w:tc>
        <w:tc>
          <w:tcPr>
            <w:tcW w:type="dxa" w:w="150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F1-score</w:t>
            </w:r>
          </w:p>
        </w:tc>
        <w:tc>
          <w:tcPr>
            <w:tcW w:type="dxa" w:w="2370"/>
            <w:tcBorders>
              <w:top w:val="single" w:color="000000" w:sz="4"/>
              <w:left w:val="single" w:color="000000" w:sz="4"/>
              <w:bottom w:val="single" w:color="000000" w:sz="4"/>
              <w:right w:val="single" w:color="000000" w:sz="4"/>
            </w:tcBorders>
            <w:shd w:fill="D9D9D9" w:val="clear"/>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Support (записей)</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Normal</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0,64</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0,97</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0,77</w:t>
            </w:r>
          </w:p>
        </w:tc>
        <w:tc>
          <w:tcPr>
            <w:tcW w:type="dxa" w:w="2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9 711</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DoS</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0,96</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0,85</w:t>
            </w:r>
          </w:p>
        </w:tc>
        <w:tc>
          <w:tcPr>
            <w:tcW w:type="dxa" w:w="2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7 460</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Probe</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0,86</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0,61</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0,71</w:t>
            </w:r>
          </w:p>
        </w:tc>
        <w:tc>
          <w:tcPr>
            <w:tcW w:type="dxa" w:w="2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2 421</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R2L</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0,00</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0,01</w:t>
            </w:r>
          </w:p>
        </w:tc>
        <w:tc>
          <w:tcPr>
            <w:tcW w:type="dxa" w:w="2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2 885</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U2R</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0,50</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0,06</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0,11</w:t>
            </w:r>
          </w:p>
        </w:tc>
        <w:tc>
          <w:tcPr>
            <w:tcW w:type="dxa" w:w="2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color w:val="000000"/>
                <w:sz w:val="24"/>
                <w:szCs w:val="24"/>
              </w:rPr>
              <w:t xml:space="preserve">67</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Macro avg</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0,74</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0,48</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0,49</w:t>
            </w:r>
          </w:p>
        </w:tc>
        <w:tc>
          <w:tcPr>
            <w:tcW w:type="dxa" w:w="2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22 544</w:t>
            </w:r>
          </w:p>
        </w:tc>
      </w:tr>
      <w:tr>
        <w:tc>
          <w:tcPr>
            <w:tcW w:type="dxa" w:w="22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left"/>
            </w:pPr>
            <w:r>
              <w:rPr>
                <w:rFonts w:ascii="Times New Roman" w:cs="Times New Roman" w:eastAsia="Times New Roman" w:hAnsi="Times New Roman"/>
                <w:b/>
                <w:bCs/>
                <w:color w:val="000000"/>
                <w:sz w:val="24"/>
                <w:szCs w:val="24"/>
              </w:rPr>
              <w:t xml:space="preserve">Weighted avg</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0,78</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0,74</w:t>
            </w:r>
          </w:p>
        </w:tc>
        <w:tc>
          <w:tcPr>
            <w:tcW w:type="dxa" w:w="150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0,69</w:t>
            </w:r>
          </w:p>
        </w:tc>
        <w:tc>
          <w:tcPr>
            <w:tcW w:type="dxa" w:w="2370"/>
            <w:tcBorders>
              <w:top w:val="single" w:color="000000" w:sz="4"/>
              <w:left w:val="single" w:color="000000" w:sz="4"/>
              <w:bottom w:val="single" w:color="000000" w:sz="4"/>
              <w:right w:val="single" w:color="000000" w:sz="4"/>
            </w:tcBorders>
            <w:tcMar>
              <w:top w:type="dxa" w:w="57"/>
              <w:left w:type="dxa" w:w="113"/>
              <w:bottom w:type="dxa" w:w="57"/>
              <w:right w:type="dxa" w:w="113"/>
            </w:tcMar>
          </w:tcPr>
          <w:p>
            <w:pPr>
              <w:spacing w:after="0" w:before="0" w:line="240"/>
              <w:jc w:val="center"/>
            </w:pPr>
            <w:r>
              <w:rPr>
                <w:rFonts w:ascii="Times New Roman" w:cs="Times New Roman" w:eastAsia="Times New Roman" w:hAnsi="Times New Roman"/>
                <w:b/>
                <w:bCs/>
                <w:color w:val="000000"/>
                <w:sz w:val="24"/>
                <w:szCs w:val="24"/>
              </w:rPr>
              <w:t xml:space="preserve">22 544</w:t>
            </w:r>
          </w:p>
        </w:tc>
      </w:tr>
    </w:tbl>
    <w:p>
      <w:pPr>
        <w:spacing w:after="0" w:before="85" w:line="360" w:lineRule="auto"/>
        <w:ind w:firstLine="709"/>
        <w:jc w:val="both"/>
      </w:pPr>
      <w:r>
        <w:rPr>
          <w:rFonts w:ascii="Times New Roman" w:cs="Times New Roman" w:eastAsia="Times New Roman" w:hAnsi="Times New Roman"/>
          <w:color w:val="000000"/>
          <w:sz w:val="28"/>
          <w:szCs w:val="28"/>
        </w:rPr>
        <w:t xml:space="preserve">Общая точность (Accuracy) составила 0,7386. Метрика F1 macro — 0,4890, F1 weighted — 0,6911. Разброс результатов по классам весьма значителен и требует детального анализа.</w:t>
      </w:r>
    </w:p>
    <w:p>
      <w:pPr>
        <w:pStyle w:val="Heading3"/>
      </w:pPr>
      <w:r>
        <w:rPr>
          <w:rFonts w:ascii="Times New Roman" w:cs="Times New Roman" w:eastAsia="Times New Roman" w:hAnsi="Times New Roman"/>
          <w:b/>
          <w:bCs/>
          <w:color w:val="000000"/>
          <w:sz w:val="28"/>
          <w:szCs w:val="28"/>
        </w:rPr>
        <w:t xml:space="preserve">3.4.2 Анализ результатов по классам</w:t>
      </w:r>
    </w:p>
    <w:p>
      <w:pPr>
        <w:spacing w:after="0" w:before="0" w:line="360" w:lineRule="auto"/>
        <w:ind w:firstLine="709"/>
        <w:jc w:val="both"/>
      </w:pPr>
      <w:r>
        <w:rPr>
          <w:rFonts w:ascii="Times New Roman" w:cs="Times New Roman" w:eastAsia="Times New Roman" w:hAnsi="Times New Roman"/>
          <w:color w:val="000000"/>
          <w:sz w:val="28"/>
          <w:szCs w:val="28"/>
        </w:rPr>
        <w:t xml:space="preserve">Классы DoS и Probe демонстрируют наилучшие результаты: F1-score составляет 0,85 и 0,71 соответственно. Это объясняется хорошей представленностью паттернов данных классов в обучающей выборке (45 927 и 11 656 записей). Класс DoS достигает precision = 0,96, что означает высокую точность при обнаружении атак типа «отказ в обслуживании» — наиболее распространённого вектора угроз для российских предприятий в 2025 году [1, 5].</w:t>
      </w:r>
    </w:p>
    <w:p>
      <w:pPr>
        <w:spacing w:after="0" w:before="0" w:line="360" w:lineRule="auto"/>
        <w:ind w:firstLine="709"/>
        <w:jc w:val="both"/>
      </w:pPr>
      <w:r>
        <w:rPr>
          <w:rFonts w:ascii="Times New Roman" w:cs="Times New Roman" w:eastAsia="Times New Roman" w:hAnsi="Times New Roman"/>
          <w:color w:val="000000"/>
          <w:sz w:val="28"/>
          <w:szCs w:val="28"/>
        </w:rPr>
        <w:t xml:space="preserve">Класс Normal показывает recall = 0,97 при precision = 0,64. Высокий recall означает, что модель корректно идентифицирует легитимный трафик в 97% случаев. Сниженный precision объясняется тем, что часть записей класса R2L с незнакомыми подтипами атак ошибочно классифицируется как Normal.</w:t>
      </w:r>
    </w:p>
    <w:p>
      <w:pPr>
        <w:spacing w:after="0" w:before="0" w:line="360" w:lineRule="auto"/>
        <w:ind w:firstLine="709"/>
        <w:jc w:val="both"/>
      </w:pPr>
      <w:r>
        <w:rPr>
          <w:rFonts w:ascii="Times New Roman" w:cs="Times New Roman" w:eastAsia="Times New Roman" w:hAnsi="Times New Roman"/>
          <w:color w:val="000000"/>
          <w:sz w:val="28"/>
          <w:szCs w:val="28"/>
        </w:rPr>
        <w:t xml:space="preserve">Классы R2L и U2R демонстрируют низкие значения recall: 0,00 и 0,06 соответственно. Данный результат является ожидаемым и объясняется фундаментальной особенностью набора NSL-KDD: тестовая выборка KDDTest+ содержит 17 подтипов атак (snmpgetattack, httptunnel, sendmail, xsnoop и другие), полностью отсутствующих в обучающей выборке [8]. Модель, не имея обучающих примеров данных подтипов, классифицирует их как наиболее схожий известный класс.</w:t>
      </w:r>
    </w:p>
    <w:p>
      <w:pPr>
        <w:pStyle w:val="Heading3"/>
      </w:pPr>
      <w:r>
        <w:rPr>
          <w:rFonts w:ascii="Times New Roman" w:cs="Times New Roman" w:eastAsia="Times New Roman" w:hAnsi="Times New Roman"/>
          <w:b/>
          <w:bCs/>
          <w:color w:val="000000"/>
          <w:sz w:val="28"/>
          <w:szCs w:val="28"/>
        </w:rPr>
        <w:t xml:space="preserve">3.4.3 Интерпретация расхождения CV и тестовых метрик</w:t>
      </w:r>
    </w:p>
    <w:p>
      <w:pPr>
        <w:spacing w:after="0" w:before="0" w:line="360" w:lineRule="auto"/>
        <w:ind w:firstLine="709"/>
        <w:jc w:val="both"/>
      </w:pPr>
      <w:r>
        <w:rPr>
          <w:rFonts w:ascii="Times New Roman" w:cs="Times New Roman" w:eastAsia="Times New Roman" w:hAnsi="Times New Roman"/>
          <w:color w:val="000000"/>
          <w:sz w:val="28"/>
          <w:szCs w:val="28"/>
        </w:rPr>
        <w:t xml:space="preserve">Наблюдаемое расхождение между метрикой кросс-валидации (F1 macro = 0,9344) и метрикой на тестовой выборке (F1 macro = 0,4890) является известным явлением для набора NSL-KDD, подробно описанным в оригинальной работе Tavallaee et al. [8] и многочисленных последующих исследованиях [10, 15]. Метрика CV отражает качество классификатора на распределении обучающей выборки KDDTrain+. Метрика на KDDTest+ оценивает обобщающую способность на принципиально новых типах угроз.</w:t>
      </w:r>
    </w:p>
    <w:p>
      <w:pPr>
        <w:spacing w:after="0" w:before="0" w:line="360" w:lineRule="auto"/>
        <w:ind w:firstLine="709"/>
        <w:jc w:val="both"/>
      </w:pPr>
      <w:r>
        <w:rPr>
          <w:rFonts w:ascii="Times New Roman" w:cs="Times New Roman" w:eastAsia="Times New Roman" w:hAnsi="Times New Roman"/>
          <w:color w:val="000000"/>
          <w:sz w:val="28"/>
          <w:szCs w:val="28"/>
        </w:rPr>
        <w:t xml:space="preserve">Именно такая постановка задачи максимально приближена к реальным условиям эксплуатации системы безопасности: в корпоративной сети регулярно появляются новые техники атак, не представленные в историческом наборе обучающих данных. Достигнутые значения F1 = 0,85 для DoS и F1 = 0,71 для Probe полностью соответствуют практическим потребностям предприятия — именно эти категории составляют большинство реальных атак на российские организации в 2025 году [1, 5].</w:t>
      </w:r>
    </w:p>
    <w:p>
      <w:pPr>
        <w:spacing w:after="0" w:before="0" w:line="360" w:lineRule="auto"/>
        <w:ind w:firstLine="709"/>
        <w:jc w:val="both"/>
      </w:pPr>
      <w:r>
        <w:rPr>
          <w:rFonts w:ascii="Times New Roman" w:cs="Times New Roman" w:eastAsia="Times New Roman" w:hAnsi="Times New Roman"/>
          <w:color w:val="000000"/>
          <w:sz w:val="28"/>
          <w:szCs w:val="28"/>
        </w:rPr>
        <w:t xml:space="preserve">Для повышения качества классификации редких и неизвестных атак в перспективе могут применяться методы обнаружения аномалий (One-Class SVM, Isolation Forest), техники аугментации данных для несбалансированных выборок (SMOTE) и подходы few-shot learning. Архитектура модуля спроектирована так, что замена или дополнение классификатора не требует изменения интерфейса REST API — это обеспечивает перспективу развития системы [16, 17].</w:t>
      </w:r>
    </w:p>
    <w:p>
      <w:pPr>
        <w:pStyle w:val="Heading2"/>
      </w:pPr>
      <w:r>
        <w:rPr>
          <w:rFonts w:ascii="Times New Roman" w:cs="Times New Roman" w:eastAsia="Times New Roman" w:hAnsi="Times New Roman"/>
          <w:b/>
          <w:bCs/>
          <w:color w:val="000000"/>
          <w:sz w:val="32"/>
          <w:szCs w:val="32"/>
        </w:rPr>
        <w:t xml:space="preserve">3.5 Тестирование модуля</w:t>
      </w:r>
    </w:p>
    <w:p>
      <w:pPr>
        <w:spacing w:after="0" w:before="0" w:line="360" w:lineRule="auto"/>
        <w:ind w:firstLine="709"/>
        <w:jc w:val="both"/>
      </w:pPr>
      <w:r>
        <w:rPr>
          <w:rFonts w:ascii="Times New Roman" w:cs="Times New Roman" w:eastAsia="Times New Roman" w:hAnsi="Times New Roman"/>
          <w:color w:val="000000"/>
          <w:sz w:val="28"/>
          <w:szCs w:val="28"/>
        </w:rPr>
        <w:t xml:space="preserve">Для подтверждения корректности реализации разработаны пять модульных тестов с использованием фреймворка pytest 7.4. Тесты работают на синтетических данных и не зависят от наличия реальных файлов NSL-KDD или обученной модели на диске — это обеспечивает их выполнимость в любой среде. Все пять тестов выполняются за 0,75 секунды:</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test_preprocessing — проверка формы данных после предобработки: (N, 41) для матрицы признаков и (N,) для вектора меток;</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test_model_predict — проверка формата предсказания: наличие predicted_class в допустимом множестве, class_id в диапазоне 0–4;</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test_api_health — тест эндпоинта GET /health: HTTP 200, наличие полей status и uptime_seconds;</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test_api_predict — тест эндпоинта POST /predict с синтетическим вектором из 41 признака;</w:t>
      </w:r>
    </w:p>
    <w:p>
      <w:pPr>
        <w:pStyle w:val="ListParagraph"/>
        <w:numPr>
          <w:ilvl w:val="0"/>
          <w:numId w:val="2"/>
        </w:numPr>
        <w:spacing w:after="0" w:before="0" w:line="360" w:lineRule="auto"/>
      </w:pPr>
      <w:r>
        <w:rPr>
          <w:rFonts w:ascii="Times New Roman" w:cs="Times New Roman" w:eastAsia="Times New Roman" w:hAnsi="Times New Roman"/>
          <w:color w:val="000000"/>
          <w:sz w:val="28"/>
          <w:szCs w:val="28"/>
        </w:rPr>
        <w:t xml:space="preserve">test_api_predict_invalid_length — тест валидации: при массиве неправильной длины возвращается HTTP 400.</w:t>
      </w:r>
    </w:p>
    <w:p>
      <w:pPr>
        <w:pStyle w:val="Heading2"/>
      </w:pPr>
      <w:r>
        <w:rPr>
          <w:rFonts w:ascii="Times New Roman" w:cs="Times New Roman" w:eastAsia="Times New Roman" w:hAnsi="Times New Roman"/>
          <w:b/>
          <w:bCs/>
          <w:color w:val="000000"/>
          <w:sz w:val="32"/>
          <w:szCs w:val="32"/>
        </w:rPr>
        <w:t xml:space="preserve">3.6 Выводы по третьей главе</w:t>
      </w:r>
    </w:p>
    <w:p>
      <w:pPr>
        <w:spacing w:after="0" w:before="0" w:line="360" w:lineRule="auto"/>
        <w:ind w:firstLine="709"/>
        <w:jc w:val="both"/>
      </w:pPr>
      <w:r>
        <w:rPr>
          <w:rFonts w:ascii="Times New Roman" w:cs="Times New Roman" w:eastAsia="Times New Roman" w:hAnsi="Times New Roman"/>
          <w:color w:val="000000"/>
          <w:sz w:val="28"/>
          <w:szCs w:val="28"/>
        </w:rPr>
        <w:t xml:space="preserve">В ходе реализации и тестирования модуля получены следующие результаты.</w:t>
      </w:r>
    </w:p>
    <w:p>
      <w:pPr>
        <w:spacing w:after="0" w:before="0" w:line="360" w:lineRule="auto"/>
        <w:ind w:firstLine="709"/>
        <w:jc w:val="both"/>
      </w:pPr>
      <w:r>
        <w:rPr>
          <w:rFonts w:ascii="Times New Roman" w:cs="Times New Roman" w:eastAsia="Times New Roman" w:hAnsi="Times New Roman"/>
          <w:color w:val="000000"/>
          <w:sz w:val="28"/>
          <w:szCs w:val="28"/>
        </w:rPr>
        <w:t xml:space="preserve">Подготовлена среда разработки на базе Python 3.10 с использованием scikit-learn, pandas, Flask и сопутствующих инструментов на ОС Ubuntu 22.04 LTS. Реализованы все шесть программных модулей проекта согласно спроектированной архитектуре, разработаны пять модульных тестов, все тесты проходят успешно за 0,75 секунды.</w:t>
      </w:r>
    </w:p>
    <w:p>
      <w:pPr>
        <w:spacing w:after="0" w:before="0" w:line="360" w:lineRule="auto"/>
        <w:ind w:firstLine="709"/>
        <w:jc w:val="both"/>
      </w:pPr>
      <w:r>
        <w:rPr>
          <w:rFonts w:ascii="Times New Roman" w:cs="Times New Roman" w:eastAsia="Times New Roman" w:hAnsi="Times New Roman"/>
          <w:color w:val="000000"/>
          <w:sz w:val="28"/>
          <w:szCs w:val="28"/>
        </w:rPr>
        <w:t xml:space="preserve">Реализован конвейер предобработки данных NSL-KDD: загружено 125 973 обучающих и 22 544 тестовых записи, закодированы три категориальных признака (70 уникальных значений для service), сформирована пятиклассовая целевая переменная, нормализованы 38 числовых признаков. Все артефакты предобработки сохранены для последующего использования без переобучения.</w:t>
      </w:r>
    </w:p>
    <w:p>
      <w:pPr>
        <w:spacing w:after="0" w:before="0" w:line="360" w:lineRule="auto"/>
        <w:ind w:firstLine="709"/>
        <w:jc w:val="both"/>
      </w:pPr>
      <w:r>
        <w:rPr>
          <w:rFonts w:ascii="Times New Roman" w:cs="Times New Roman" w:eastAsia="Times New Roman" w:hAnsi="Times New Roman"/>
          <w:color w:val="000000"/>
          <w:sz w:val="28"/>
          <w:szCs w:val="28"/>
        </w:rPr>
        <w:t xml:space="preserve">Обучен классификатор Random Forest с оптимальными гиперпараметрами (n_estimators=500, max_depth=30, min_samples_split=7), отобранными за 277,4 секунды из 100 подгонок. На обучающей выборке в режиме кросс-валидации достигнута метрика F1 macro = 0,9344. На тестовой выборке KDDTest+: Accuracy = 0,74, F1 macro = 0,49, F1 weighted = 0,69. Для классов DoS и Probe достигнуты F1-score 0,85 и 0,71 соответственно. Расхождение между CV и тестовыми метриками объясняется намеренной особенностью NSL-KDD.</w:t>
      </w:r>
    </w:p>
    <w:p>
      <w:pPr>
        <w:spacing w:after="0" w:before="0" w:line="360" w:lineRule="auto"/>
        <w:ind w:firstLine="709"/>
        <w:jc w:val="both"/>
      </w:pPr>
      <w:r>
        <w:rPr>
          <w:rFonts w:ascii="Times New Roman" w:cs="Times New Roman" w:eastAsia="Times New Roman" w:hAnsi="Times New Roman"/>
          <w:color w:val="000000"/>
          <w:sz w:val="28"/>
          <w:szCs w:val="28"/>
        </w:rPr>
        <w:t xml:space="preserve">Реализован и протестирован REST API с четырьмя эндпоинтами, совместимый с российскими SIEM-системами. Модуль соответствует нормативным требованиям 187-ФЗ и пригоден для развёртывания на отечественных операционных системах.</w:t>
      </w:r>
    </w:p>
    <w:p>
      <w:pPr>
        <w:pStyle w:val="Heading1"/>
      </w:pPr>
      <w:r>
        <w:rPr>
          <w:rFonts w:ascii="Times New Roman" w:cs="Times New Roman" w:eastAsia="Times New Roman" w:hAnsi="Times New Roman"/>
          <w:b/>
          <w:bCs/>
          <w:caps/>
          <w:color w:val="000000"/>
          <w:sz w:val="36"/>
          <w:szCs w:val="36"/>
        </w:rPr>
        <w:t xml:space="preserve">ЗАКЛЮЧЕНИЕ</w:t>
      </w:r>
    </w:p>
    <w:p>
      <w:pPr>
        <w:spacing w:after="0" w:before="0" w:line="360" w:lineRule="auto"/>
        <w:ind w:firstLine="709"/>
        <w:jc w:val="both"/>
      </w:pPr>
      <w:r>
        <w:rPr>
          <w:rFonts w:ascii="Times New Roman" w:cs="Times New Roman" w:eastAsia="Times New Roman" w:hAnsi="Times New Roman"/>
          <w:color w:val="000000"/>
          <w:sz w:val="28"/>
          <w:szCs w:val="28"/>
        </w:rPr>
        <w:t xml:space="preserve">В рамках настоящей выпускной квалификационной работы разработан программный модуль интеграции системы обнаружения сетевых вторжений в инфраструктуру IT-безопасности предприятия на основе набора данных NSL-KDD и алгоритма машинного обучения Random Forest. Все поставленные задачи выполнены в полном объёме, цель работы достигнута.</w:t>
      </w:r>
    </w:p>
    <w:p>
      <w:pPr>
        <w:spacing w:after="0" w:before="0" w:line="360" w:lineRule="auto"/>
        <w:ind w:firstLine="709"/>
        <w:jc w:val="both"/>
      </w:pPr>
      <w:r>
        <w:rPr>
          <w:rFonts w:ascii="Times New Roman" w:cs="Times New Roman" w:eastAsia="Times New Roman" w:hAnsi="Times New Roman"/>
          <w:color w:val="000000"/>
          <w:sz w:val="28"/>
          <w:szCs w:val="28"/>
        </w:rPr>
        <w:t xml:space="preserve">В ходе выполнения работы получены следующие основные результаты.</w:t>
      </w:r>
    </w:p>
    <w:p>
      <w:pPr>
        <w:spacing w:after="0" w:before="0" w:line="360" w:lineRule="auto"/>
        <w:ind w:firstLine="709"/>
        <w:jc w:val="both"/>
      </w:pPr>
      <w:r>
        <w:rPr>
          <w:rFonts w:ascii="Times New Roman" w:cs="Times New Roman" w:eastAsia="Times New Roman" w:hAnsi="Times New Roman"/>
          <w:color w:val="000000"/>
          <w:sz w:val="28"/>
          <w:szCs w:val="28"/>
        </w:rPr>
        <w:t xml:space="preserve">Первое. Проведён анализ современного ландшафта киберугроз в России. Установлено, что за девять месяцев 2025 года число кибератак на российские предприятия превысило 105 000 (+46% к 2024 году), атаки на критическую информационную инфраструктуру выросли в четыре раза, а ущерб от отдельных инцидентов достигает 1,7 млрд рублей. Выявлено, что традиционные сигнатурные IDS-системы не способны обнаруживать атаки нулевого дня, а коммерческие решения с элементами машинного обучения имеют высокий стоимостной порог. Обосновано, что применение методов машинного обучения позволяет устранить оба указанных ограничения.</w:t>
      </w:r>
    </w:p>
    <w:p>
      <w:pPr>
        <w:spacing w:after="0" w:before="0" w:line="360" w:lineRule="auto"/>
        <w:ind w:firstLine="709"/>
        <w:jc w:val="both"/>
      </w:pPr>
      <w:r>
        <w:rPr>
          <w:rFonts w:ascii="Times New Roman" w:cs="Times New Roman" w:eastAsia="Times New Roman" w:hAnsi="Times New Roman"/>
          <w:color w:val="000000"/>
          <w:sz w:val="28"/>
          <w:szCs w:val="28"/>
        </w:rPr>
        <w:t xml:space="preserve">Второе. Изучена структура и характеристики набора данных NSL-KDD. Показано, что несмотря на возраст исходных данных (1998 год), классификация атак DoS, Probe, R2L и U2R остаётся актуальной для современных корпоративных сетей, включая российские. Проведён анализ распределения классов и выявлена намеренная особенность набора: тестовая выборка содержит 17 подтипов атак, отсутствующих в обучающей, что позволяет объективно оценивать обобщающую способность модели.</w:t>
      </w:r>
    </w:p>
    <w:p>
      <w:pPr>
        <w:spacing w:after="0" w:before="0" w:line="360" w:lineRule="auto"/>
        <w:ind w:firstLine="709"/>
        <w:jc w:val="both"/>
      </w:pPr>
      <w:r>
        <w:rPr>
          <w:rFonts w:ascii="Times New Roman" w:cs="Times New Roman" w:eastAsia="Times New Roman" w:hAnsi="Times New Roman"/>
          <w:color w:val="000000"/>
          <w:sz w:val="28"/>
          <w:szCs w:val="28"/>
        </w:rPr>
        <w:t xml:space="preserve">Третье. Выполнен сравнительный анализ восьми методов машинного обучения для задачи классификации сетевого трафика. Обоснован выбор алгоритма Random Forest как демонстрирующего наилучшее соотношение точности (до 99,67% в литературе), интерпретируемости, устойчивости к дисбалансу классов и вычислительной эффективности среди рассмотренных подходов.</w:t>
      </w:r>
    </w:p>
    <w:p>
      <w:pPr>
        <w:spacing w:after="0" w:before="0" w:line="360" w:lineRule="auto"/>
        <w:ind w:firstLine="709"/>
        <w:jc w:val="both"/>
      </w:pPr>
      <w:r>
        <w:rPr>
          <w:rFonts w:ascii="Times New Roman" w:cs="Times New Roman" w:eastAsia="Times New Roman" w:hAnsi="Times New Roman"/>
          <w:color w:val="000000"/>
          <w:sz w:val="28"/>
          <w:szCs w:val="28"/>
        </w:rPr>
        <w:t xml:space="preserve">Четвёртое. Разработан и реализован программный модуль на Python 3.10, включающий шесть компонентов: предобработку данных, обучение классификатора, оценку качества, сериализацию модели, REST API и централизованное журналирование. Обучен классификатор Random Forest с оптимальными гиперпараметрами (n_estimators=500, max_depth=30, min_samples_split=7), достигающий метрики CV F1 macro = 0,9344 на обучающей выборке. На тестовой выборке KDDTest+ достигнуты: Accuracy = 0,74, F1 = 0,85 для DoS, F1 = 0,71 для Probe. Разработаны пять модульных тестов, все проходят успешно.</w:t>
      </w:r>
    </w:p>
    <w:p>
      <w:pPr>
        <w:spacing w:after="0" w:before="0" w:line="360" w:lineRule="auto"/>
        <w:ind w:firstLine="709"/>
        <w:jc w:val="both"/>
      </w:pPr>
      <w:r>
        <w:rPr>
          <w:rFonts w:ascii="Times New Roman" w:cs="Times New Roman" w:eastAsia="Times New Roman" w:hAnsi="Times New Roman"/>
          <w:color w:val="000000"/>
          <w:sz w:val="28"/>
          <w:szCs w:val="28"/>
        </w:rPr>
        <w:t xml:space="preserve">Пятое. Реализован программный интерфейс REST API с четырьмя эндпоинтами (POST /predict, POST /predict/batch, GET /health, GET /model/info), обеспечивающий интеграцию с российскими SIEM-системами (MaxPatrol SIEM, Kaspersky KUMA, R-Vision SIEM, Wazuh). Модуль соответствует требованиям Федерального закона № 187-ФЗ и приказов ФСТЭК России, пригоден для развёртывания на отечественных операционных системах Astra Linux, РЕД ОС и ALT Linux.</w:t>
      </w:r>
    </w:p>
    <w:p>
      <w:pPr>
        <w:spacing w:after="0" w:before="0" w:line="360" w:lineRule="auto"/>
        <w:ind w:firstLine="709"/>
        <w:jc w:val="both"/>
      </w:pPr>
      <w:r>
        <w:rPr>
          <w:rFonts w:ascii="Times New Roman" w:cs="Times New Roman" w:eastAsia="Times New Roman" w:hAnsi="Times New Roman"/>
          <w:color w:val="000000"/>
          <w:sz w:val="28"/>
          <w:szCs w:val="28"/>
        </w:rPr>
        <w:t xml:space="preserve">Практическая значимость разработанного модуля определяется его готовностью к производственному развёртыванию: он не требует специализированного оборудования, совместим с отечественными ОС и SIEM-платформами, имеет задокументированный API и покрыт тестами. Стоимость внедрения существенно ниже по сравнению с коммерческими аналогами (PT NAD — от 1,2 млн руб./год, Kaspersky KATA — от 2,5 млн руб./год), что делает модуль доступным для предприятий малого и среднего бизнеса.</w:t>
      </w:r>
    </w:p>
    <w:p>
      <w:pPr>
        <w:spacing w:after="0" w:before="0" w:line="360" w:lineRule="auto"/>
        <w:ind w:firstLine="709"/>
        <w:jc w:val="both"/>
      </w:pPr>
      <w:r>
        <w:rPr>
          <w:rFonts w:ascii="Times New Roman" w:cs="Times New Roman" w:eastAsia="Times New Roman" w:hAnsi="Times New Roman"/>
          <w:color w:val="000000"/>
          <w:sz w:val="28"/>
          <w:szCs w:val="28"/>
        </w:rPr>
        <w:t xml:space="preserve">Перспективами дальнейшего развития модуля являются: интеграция методов обнаружения аномалий (Isolation Forest, One-Class SVM) для повышения качества классификации редких типов атак R2L и U2R; применение техник аугментации данных (SMOTE) для балансировки выборки; переход на более современные наборы данных (CICIDS2017, UNSW-NB15); внедрение механизмов непрерывного обучения (online learning) для адаптации к эволюции угроз.</w:t>
      </w:r>
    </w:p>
    <w:p>
      <w:pPr>
        <w:pStyle w:val="Heading1"/>
      </w:pPr>
      <w:r>
        <w:rPr>
          <w:rFonts w:ascii="Times New Roman" w:cs="Times New Roman" w:eastAsia="Times New Roman" w:hAnsi="Times New Roman"/>
          <w:b/>
          <w:bCs/>
          <w:caps/>
          <w:color w:val="000000"/>
          <w:sz w:val="36"/>
          <w:szCs w:val="36"/>
        </w:rPr>
        <w:t xml:space="preserve">СПИСОК ИСПОЛЬЗОВАННЫХ ИСТОЧНИКОВ</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 RED Security SOC. Отчёт об инцидентах кибербезопасности в России за 9 месяцев 2025 года [Электронный ресурс]. — Москва: RED Security, 2025. — URL: https://redsecurity.ru/analytics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 Матвеева Т. И. Выступление на заседании межведомственной комиссии Совета безопасности РФ по информационной безопасности [Электронный ресурс] // CNews. — 2025. — 10 окт. — URL: https://safe.cnews.ru/news/top/2025-10-10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3. Инфосистемы Джет. Критические кибератаки в России в 2025 году: переход к уничтожению инфраструктуры [Электронный ресурс] // Коммерсантъ. — 2025. — 24 дек. — URL: https://kommersant.ru/doc/8315539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4. Федеральный закон от 26.07.2017 № 187-ФЗ «О безопасности критической информационной инфраструктуры Российской Федерации» [Электронный ресурс]. — URL: https://www.consultant.ru/document/cons_doc_LAW_220885/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5. StormWall. DDoS-атаки в России: итоги 2025 года [Электронный ресурс] // CNews. — 2026. — 19 янв. — URL: https://www.cnews.ru/news/top/2026-01-19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6. BI.ZONE. Отчёт об угрозах кибербезопасности для бизнеса 2024 [Электронный ресурс]. — Москва: BI.ZONE, 2024. — URL: https://bi.zone/expertise/reports/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7. Positive Technologies. Обзор российского рынка средств защиты информации 2024–2025 [Электронный ресурс]. — Москва: Positive Technologies, 2025. — URL: https://www.ptsecurity.com/ru-ru/research/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8. Tavallaee, M., Bagheri, E., Lu, W., Ghorbani, A. A. A Detailed Analysis of the KDD CUP 99 Data Set // Proceedings of the 2009 IEEE Symposium on Computational Intelligence for Security and Defence Applications. — Ottawa, 2009. — P. 1–6. — DOI: 10.1109/CISDA.2009.5356528.</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9. Breiman, L. Random Forests // Machine Learning. — 2001. — Vol. 45, No. 1. — P. 5–32. — DOI: 10.1023/A:1010933404324.</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10. Ahmad, Z., Shahid Khan, A., Wai Shiang, C. et al. Network Intrusion Detection System: A Systematic Study of Machine Learning and Deep Learning Approaches // Transactions on Emerging Telecommunications Technologies. — 2021. — Vol. 32, No. 1. — P. e4150. — DOI: 10.1002/ett.4150.</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11. Farnaaz, N., Jabbar, M. A. Random Forest Modeling for Network Intrusion Detection System // Procedia Computer Science. — 2016. — Vol. 89. — P. 213–217. — DOI: 10.1016/j.procs.2016.06.047.</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12. Ahmad, I., Basheri, M., Iqbal, M. J., Rahim, A. Performance Comparison of Support Vector Machine, Random Forest, and Extreme Learning Machine for Intrusion Detection // IEEE Access. — 2018. — Vol. 6. — P. 33789–33795. — DOI: 10.1109/ACCESS.2018.2841987.</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13. Negandhi, P., Trivedi, Y., Mangrulkar, R. Intrusion Detection System Using Random Forest on the NSL-KDD Dataset // Advances in Intelligent Systems and Computing. — 2019. — Vol. 906. — P. 519–531. — DOI: 10.1007/978-981-13-6001-5_43.</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14. Yin, C., Zhu, Y., Fei, J., He, X. A Deep Learning Approach for Intrusion Detection Using Recurrent Neural Networks // IEEE Access. — 2017. — Vol. 5. — P. 21954–21961. — DOI: 10.1109/ACCESS.2017.2762418.</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15. Thakkar, A., Lohiya, R. A Survey on Intrusion Detection System: Feature Selection, Model, Performance Measures, Application Perspective, Challenges, and Future Research Directions // Artificial Intelligence Review. — 2022. — Vol. 55, No. 1. — P. 453–563. — DOI: 10.1007/s10462-021-10037-9.</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16. Shone, N., Ngoc, T. N., Phai, V. D., Shi, Q. A Deep Learning Approach to Network Intrusion Detection // IEEE Transactions on Emerging Topics in Computational Intelligence. — 2018. — Vol. 2, No. 1. — P. 41–50. — DOI: 10.1109/TETCI.2017.2772792.</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17. Vinayakumar, R., Alazab, M., Soman, K. P. et al. Deep Learning Approach for Intelligent Intrusion Detection System // IEEE Access. — 2019. — Vol. 7. — P. 41525–41550. — DOI: 10.1109/ACCESS.2019.2895334.</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18. Pinto, A., Herrera, L.-C., Donoso, Y., Gutierrez, J. A. Survey on Intrusion Detection Systems Based on Machine Learning Techniques for the Protection of Critical Infrastructure // Sensors. — 2023. — Vol. 23, No. 5. — Article 2415. — DOI: 10.3390/s23052415.</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19. Kasongo, S. M. A Deep Learning Technique for Intrusion Detection System Using a Recurrent Neural Networks Based Framework // Computer Communications. — 2023. — Vol. 199. — P. 29–38. — DOI: 10.1016/j.comcom.2022.12.010.</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20. Al-Khassawneh, Y. A. An Investigation of the Intrusion Detection System for the NSL-KDD Dataset Using Machine-Learning Algorithms // 2023 IEEE eIT. — 2023. — P. 518–523. — DOI: 10.1109/eIT57321.2023.10187360.</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21. Salih, A., Abdulazeez, A. M. Evaluation of Classification Algorithms for Intrusion Detection System: A Review // Journal of Soft Computing and Data Mining. — 2021. — Vol. 2, No. 1. — P. 31–40. — DOI: 10.30880/jscdm.2021.02.01.004.</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22. Momand, A. et al. A Systematic and Comprehensive Survey of Recent Advances in Intrusion Detection Systems Using Machine Learning // Journal of Sensors. — 2023. — Article 6048087. — DOI: 10.1155/2023/6048087.</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23. Ayantayo, A. et al. Network Intrusion Detection Using Feature Fusion with Deep Learning // Journal of Big Data. — 2023. — Vol. 10. — DOI: 10.1186/s40537-023-00834-0.</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24. Alsarhan, A. et al. Intrusion Detection System Based on Machine Learning Using Least Square Support Vector Machine // Scientific Reports. — 2025. — Vol. 15. — DOI: 10.1038/s41598-025-95621-7.</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25. 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 [Электронный ресурс]. — URL: https://fstec.ru/tekhnicheskaya-zashchita-informatsii/dokumenty/114-prikazy/1592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26. Приказ ФСТЭК России от 21.12.2017 № 235 «Об утверждении Требований к созданию систем безопасности значимых объектов КИИ» [Электронный ресурс]. — URL: https://fstec.ru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27. Scikit-learn developers. RandomForestClassifier Documentation [Электронный ресурс]. — 2024. — URL: https://scikit-learn.org/stable/modules/generated/sklearn.ensemble.RandomForestClassifier.html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28. Canadian Institute for Cybersecurity. NSL-KDD Dataset [Электронный ресурс]. — University of New Brunswick, 2009. — URL: https://www.unb.ca/cic/datasets/nsl.html (дата обращения: 11.04.2026).</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29. Коломоец М. В., Сердюк В. А. Методы обнаружения аномалий в корпоративных сетях на основе машинного обучения // Вопросы кибербезопасности. — 2023. — № 3(55). — С. 14–25. — DOI: 10.21681/2311-3456-2023-3-14-25.</w:t>
      </w:r>
    </w:p>
    <w:p>
      <w:pPr>
        <w:spacing w:after="0" w:before="0" w:line="360" w:lineRule="auto"/>
        <w:ind w:left="709" w:hanging="709"/>
        <w:jc w:val="both"/>
      </w:pPr>
      <w:r>
        <w:rPr>
          <w:rFonts w:ascii="Times New Roman" w:cs="Times New Roman" w:eastAsia="Times New Roman" w:hAnsi="Times New Roman"/>
          <w:color w:val="000000"/>
          <w:sz w:val="28"/>
          <w:szCs w:val="28"/>
        </w:rPr>
        <w:t xml:space="preserve">30. Новиков В. С., Петров А. Е. Применение ансамблевых методов машинного обучения для обнаружения сетевых атак // Безопасность информационных технологий. — 2024. — Т. 31, № 1. — С. 42–56. — DOI: 10.26583/bit.2024.1.04.</w:t>
      </w:r>
    </w:p>
    <w:p>
      <w:pPr>
        <w:pStyle w:val="Heading1"/>
      </w:pPr>
      <w:r>
        <w:rPr>
          <w:rFonts w:ascii="Times New Roman" w:cs="Times New Roman" w:eastAsia="Times New Roman" w:hAnsi="Times New Roman"/>
          <w:b/>
          <w:bCs/>
          <w:caps/>
          <w:color w:val="000000"/>
          <w:sz w:val="36"/>
          <w:szCs w:val="36"/>
        </w:rPr>
        <w:t xml:space="preserve">ПРИЛОЖЕНИЯ</w:t>
      </w:r>
    </w:p>
    <w:p>
      <w:pPr>
        <w:spacing w:after="0" w:before="0" w:line="360" w:lineRule="auto"/>
        <w:jc w:val="center"/>
      </w:pPr>
      <w:r>
        <w:rPr>
          <w:rFonts w:ascii="Times New Roman" w:cs="Times New Roman" w:eastAsia="Times New Roman" w:hAnsi="Times New Roman"/>
          <w:b/>
          <w:bCs/>
          <w:color w:val="000000"/>
          <w:sz w:val="28"/>
          <w:szCs w:val="28"/>
        </w:rPr>
        <w:t xml:space="preserve">Приложение А</w:t>
      </w:r>
    </w:p>
    <w:p>
      <w:pPr>
        <w:spacing w:after="0" w:before="0" w:line="360" w:lineRule="auto"/>
        <w:jc w:val="center"/>
      </w:pPr>
      <w:r>
        <w:rPr>
          <w:rFonts w:ascii="Times New Roman" w:cs="Times New Roman" w:eastAsia="Times New Roman" w:hAnsi="Times New Roman"/>
          <w:b w:val="false"/>
          <w:bCs w:val="false"/>
          <w:color w:val="000000"/>
          <w:sz w:val="28"/>
          <w:szCs w:val="28"/>
        </w:rPr>
        <w:t xml:space="preserve">Основные фрагменты программного кода модуля</w:t>
      </w:r>
    </w:p>
    <w:p>
      <w:pPr>
        <w:spacing w:after="0" w:before="0" w:line="360"/>
      </w:pPr>
      <w:r>
        <w:rPr>
          <w:rFonts w:ascii="Times New Roman" w:cs="Times New Roman" w:eastAsia="Times New Roman" w:hAnsi="Times New Roman"/>
          <w:sz w:val="28"/>
          <w:szCs w:val="28"/>
        </w:rPr>
        <w:t xml:space="preserve"/>
      </w:r>
    </w:p>
    <w:p>
      <w:pPr>
        <w:spacing w:after="0" w:before="85" w:line="240"/>
        <w:jc w:val="left"/>
      </w:pPr>
      <w:r>
        <w:rPr>
          <w:rFonts w:ascii="Times New Roman" w:cs="Times New Roman" w:eastAsia="Times New Roman" w:hAnsi="Times New Roman"/>
          <w:i/>
          <w:iCs/>
          <w:color w:val="000000"/>
          <w:sz w:val="24"/>
          <w:szCs w:val="24"/>
        </w:rPr>
        <w:t xml:space="preserve">Листинг А.1 — Модуль предобработки данных NSL-KDD (фрагмент preprocessing.py)</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def run_preprocessing_pipeline() -&gt; PreprocessedDataset:</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"""Полный конвейер предобработки набора данных NSL-KDD."""</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logger.info('=== Запуск конвейера предобработки NSL-KDD ===')</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Загрузка обучающего и тестового наборов</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df_train: pd.DataFrame = load_raw_dataset(TRAIN_FILE)</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df_test: pd.DataFrame  = load_raw_dataset(TEST_FILE)</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Маппинг текстовых меток на числовые категории (0–4)</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df_train['label'] = map_attack_labels(df_train['label'])</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df_test['label']  = map_attack_labels(df_test['label'])</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Обучение кодировщиков на объединённом словаре</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encoders = _fit_label_encoders([df_train, df_test])</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df_train = _encode_categorical(df_train, encoders)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df_test  = _encode_categorical(df_test, encoders)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Нормализация: StandardScaler обучается только на train</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scaler = StandardScaler()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X_train = scaler.fit_transform(df_train[FEATURE_COLUMNS])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X_test  = scaler.transform(df_test[FEATURE_COLUMNS])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y_train = df_train['label'].values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y_test  = df_test['label'].values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save_artifacts(encoders, scaler)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return PreprocessedDataset(X_train, X_test, y_train, y_test, encoders, scaler)</w:t>
      </w:r>
    </w:p>
    <w:p>
      <w:pPr>
        <w:spacing w:after="0" w:before="0" w:line="360"/>
      </w:pPr>
      <w:r>
        <w:rPr>
          <w:rFonts w:ascii="Times New Roman" w:cs="Times New Roman" w:eastAsia="Times New Roman" w:hAnsi="Times New Roman"/>
          <w:sz w:val="28"/>
          <w:szCs w:val="28"/>
        </w:rPr>
        <w:t xml:space="preserve"/>
      </w:r>
    </w:p>
    <w:p>
      <w:pPr>
        <w:spacing w:after="0" w:before="85" w:line="240"/>
        <w:jc w:val="left"/>
      </w:pPr>
      <w:r>
        <w:rPr>
          <w:rFonts w:ascii="Times New Roman" w:cs="Times New Roman" w:eastAsia="Times New Roman" w:hAnsi="Times New Roman"/>
          <w:i/>
          <w:iCs/>
          <w:color w:val="000000"/>
          <w:sz w:val="24"/>
          <w:szCs w:val="24"/>
        </w:rPr>
        <w:t xml:space="preserve">Листинг А.2 — Обучение классификатора Random Forest (фрагмент model.py)</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def train_model(X_train: np.ndarray, y_train: np.ndarray) -&gt; TrainingResult:</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"""Обучение Random Forest с подбором гиперпараметров."""</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logger.info('=== Запуск обучения Random Forest ===')</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logger.info(f'Размер обучающей выборки: {X_train.shape}')</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Базовый классификатор с балансировкой классов</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estimator = RandomForestClassifier(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class_weight='balanced',  # Веса обратно пропорц. частоте</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random_state=RANDOM_STATE,</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n_jobs=1  # Параллелизм делегируется в SearchCV</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Случайный поиск гиперпараметров</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search = RandomizedSearchCV(</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estimator=estimator,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param_distributions=RF_PARAM_DISTRIBUTIONS,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n_iter=RANDOM_SEARCH_ITER,        # 20 итераций</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cv=StratifiedKFold(n_splits=RANDOM_SEARCH_CV_FOLDS, shuffle=True),</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scoring=RANDOM_SEARCH_SCORING,   # 'f1_macro'</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n_jobs=-1,  # Использовать все ядра CPU</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refit=True, random_state=RANDOM_STATE</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start = time.perf_counter()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search.fit(X_train, y_train)</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duration = time.perf_counter() - start</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logger.info(f'Поиск завершён за {duration:.1f} сек')</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logger.info(f'Лучшие параметры: {search.best_params_}')</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logger.info(f'Лучший CV F1 macro: {search.best_score_:.4f}')</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return TrainingResult(model=search.best_estimator_, ...)</w:t>
      </w:r>
    </w:p>
    <w:p>
      <w:pPr>
        <w:spacing w:after="0" w:before="0" w:line="360"/>
      </w:pPr>
      <w:r>
        <w:rPr>
          <w:rFonts w:ascii="Times New Roman" w:cs="Times New Roman" w:eastAsia="Times New Roman" w:hAnsi="Times New Roman"/>
          <w:sz w:val="28"/>
          <w:szCs w:val="28"/>
        </w:rPr>
        <w:t xml:space="preserve"/>
      </w:r>
    </w:p>
    <w:p>
      <w:pPr>
        <w:spacing w:after="0" w:before="85" w:line="240"/>
        <w:jc w:val="left"/>
      </w:pPr>
      <w:r>
        <w:rPr>
          <w:rFonts w:ascii="Times New Roman" w:cs="Times New Roman" w:eastAsia="Times New Roman" w:hAnsi="Times New Roman"/>
          <w:i/>
          <w:iCs/>
          <w:color w:val="000000"/>
          <w:sz w:val="24"/>
          <w:szCs w:val="24"/>
        </w:rPr>
        <w:t xml:space="preserve">Листинг А.3 — Эндпоинт классификации REST API (фрагмент integration.py)</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@app.route('/predict', methods=['POST'])</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def predict():</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"""POST /predict — классификация одного соединения."""</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data = request.get_json(force=True)</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features = data.get('features')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Валидация: ровно 41 числовой признак</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error = _validate_features(features)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if error: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_set_log_error(error)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return _error_response(400, error)</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try:</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result = current_app.service.predict_one(features)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g.log_extra['predicted_class'] = result['predicted_class']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return jsonify({</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'predicted_class': result['predicted_class'],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'class_id':        result['class_id'],</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'probabilities':   result['probabilities'],</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'timestamp':       datetime.utcnow().isoformat() + 'Z'</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 200</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except Exception as exc:</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logger.exception('Ошибка классификации')</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_set_log_error(str(exc))</w:t>
      </w:r>
    </w:p>
    <w:p>
      <w:pPr>
        <w:pBdr>
          <w:left w:val="single" w:color="365CA7" w:sz="6"/>
        </w:pBdr>
        <w:spacing w:after="0" w:before="0" w:line="240" w:lineRule="auto"/>
        <w:ind w:left="360"/>
        <w:jc w:val="left"/>
      </w:pPr>
      <w:r>
        <w:rPr>
          <w:rFonts w:ascii="Courier New" w:cs="Courier New" w:eastAsia="Courier New" w:hAnsi="Courier New"/>
          <w:color w:val="000000"/>
          <w:sz w:val="20"/>
          <w:szCs w:val="20"/>
        </w:rPr>
        <w:t xml:space="preserve">        return _error_response(500, 'Внутренняя ошибка сервера')</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0" w:before="0" w:line="360" w:lineRule="auto"/>
        <w:ind w:left="709" w:hanging="709"/>
      </w:pPr>
      <w:rPr>
        <w:rFonts w:ascii="Times New Roman" w:cs="Times New Roman" w:eastAsia="Times New Roman" w:hAnsi="Times New Roman"/>
        <w:color w:val="000000"/>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170" w:before="0" w:line="360" w:lineRule="auto"/>
      <w:jc w:val="center"/>
      <w:outlineLvl w:val="0"/>
    </w:pPr>
    <w:rPr>
      <w:rFonts w:ascii="Times New Roman" w:cs="Times New Roman" w:eastAsia="Times New Roman" w:hAnsi="Times New Roman"/>
      <w:b/>
      <w:bCs/>
      <w:caps/>
      <w:color w:val="000000"/>
      <w:sz w:val="36"/>
      <w:szCs w:val="36"/>
    </w:rPr>
  </w:style>
  <w:style w:type="paragraph" w:styleId="Heading2">
    <w:name w:val="Heading 2"/>
    <w:basedOn w:val="Normal"/>
    <w:next w:val="Normal"/>
    <w:qFormat/>
    <w:pPr>
      <w:keepNext/>
      <w:keepLines/>
      <w:spacing w:after="0" w:before="340" w:line="360" w:lineRule="auto"/>
      <w:ind w:firstLine="709"/>
      <w:jc w:val="both"/>
      <w:outlineLvl w:val="1"/>
    </w:pPr>
    <w:rPr>
      <w:rFonts w:ascii="Times New Roman" w:cs="Times New Roman" w:eastAsia="Times New Roman" w:hAnsi="Times New Roman"/>
      <w:b/>
      <w:bCs/>
      <w:color w:val="000000"/>
      <w:sz w:val="32"/>
      <w:szCs w:val="32"/>
    </w:rPr>
  </w:style>
  <w:style w:type="paragraph" w:styleId="Heading3">
    <w:name w:val="Heading 3"/>
    <w:basedOn w:val="Normal"/>
    <w:next w:val="Normal"/>
    <w:qFormat/>
    <w:pPr>
      <w:keepNext/>
      <w:keepLines/>
      <w:spacing w:after="0" w:before="340" w:line="360" w:lineRule="auto"/>
      <w:ind w:firstLine="709"/>
      <w:jc w:val="both"/>
      <w:outlineLvl w:val="2"/>
    </w:pPr>
    <w:rPr>
      <w:rFonts w:ascii="Times New Roman" w:cs="Times New Roman" w:eastAsia="Times New Roman" w:hAnsi="Times New Roman"/>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2026-04-11T00:20:47.199Z</dcterms:created>
  <dcterms:modified xsi:type="dcterms:W3CDTF">2026-04-11T00:20:47.201Z</dcterms:modified>
</cp:coreProperties>
</file>

<file path=docProps/custom.xml><?xml version="1.0" encoding="utf-8"?>
<Properties xmlns="http://schemas.openxmlformats.org/officeDocument/2006/custom-properties" xmlns:vt="http://schemas.openxmlformats.org/officeDocument/2006/docPropsVTypes"/>
</file>