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left"/>
        <w:tblLayout w:type="fixed"/>
        <w:tblLook w:val="00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w:drawing>
                <wp:inline distB="0" distT="0" distL="0" distR="0">
                  <wp:extent cx="992600" cy="112469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1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sdt>
              <w:sdtPr>
                <w:id w:val="184327412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«МИРЭА − Российский технологический университет»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52131</wp:posOffset>
                      </wp:positionH>
                      <wp:positionV relativeFrom="paragraph">
                        <wp:posOffset>67094</wp:posOffset>
                      </wp:positionV>
                      <wp:extent cx="6220963" cy="68532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57744" y="3767959"/>
                                <a:ext cx="6176513" cy="240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4445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52131</wp:posOffset>
                      </wp:positionH>
                      <wp:positionV relativeFrom="paragraph">
                        <wp:posOffset>67094</wp:posOffset>
                      </wp:positionV>
                      <wp:extent cx="6220963" cy="68532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20963" cy="6853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Институт перспективных технологий и индустриального программирования (ИПТИП)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Кафедра индустриального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ОТЧЁТ ПО УЧЕБНОЙ ПРАКТИКЕ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Технологическая (проектно-технологическая) практика</w:t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приказ Университета о направлении на практику от «29» августа 2025 г. </w:t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№ 7136-С</w:t>
      </w:r>
    </w:p>
    <w:p w:rsidR="00000000" w:rsidDel="00000000" w:rsidP="00000000" w:rsidRDefault="00000000" w:rsidRPr="00000000" w14:paraId="00000012">
      <w:pPr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1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1"/>
        <w:gridCol w:w="2438"/>
        <w:gridCol w:w="1923"/>
        <w:gridCol w:w="2551"/>
        <w:tblGridChange w:id="0">
          <w:tblGrid>
            <w:gridCol w:w="3401"/>
            <w:gridCol w:w="2438"/>
            <w:gridCol w:w="1923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 к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рассмотрению: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группы </w:t>
            </w:r>
            <w:r w:rsidDel="00000000" w:rsidR="00000000" w:rsidRPr="00000000">
              <w:rPr>
                <w:rtl w:val="0"/>
              </w:rPr>
              <w:t xml:space="preserve">ЭФБО-06-22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«20» _декабря_ 2025 г.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Холбоев Б.У.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утвержден.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Допущен к защите: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практики от кафедры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«20» _декабря_ 2025 г.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Клесов Д.Н.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практики от профильной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«20» _декабря_ 2025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Насимов Р.Р.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jc w:val="center"/>
        <w:rPr/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9" w:w="11907" w:orient="portrait"/>
          <w:pgMar w:bottom="1134" w:top="1134" w:left="1134" w:right="113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Москва 2025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1.0" w:type="dxa"/>
        <w:jc w:val="left"/>
        <w:tblLayout w:type="fixed"/>
        <w:tblLook w:val="00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w:drawing>
                <wp:inline distB="0" distT="0" distL="0" distR="0">
                  <wp:extent cx="992600" cy="112469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sdt>
              <w:sdtPr>
                <w:id w:val="161221859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«МИРЭА − Российский технологический университет»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-5290</wp:posOffset>
                      </wp:positionH>
                      <wp:positionV relativeFrom="paragraph">
                        <wp:posOffset>67097</wp:posOffset>
                      </wp:positionV>
                      <wp:extent cx="6220963" cy="6853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57744" y="3767959"/>
                                <a:ext cx="6176513" cy="240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4445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-5290</wp:posOffset>
                      </wp:positionH>
                      <wp:positionV relativeFrom="paragraph">
                        <wp:posOffset>67097</wp:posOffset>
                      </wp:positionV>
                      <wp:extent cx="6220963" cy="68532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20963" cy="6853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Институт перспективных технологий и индустриального программирования (ИПТИП)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Кафедра индустриального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ИНДИВИДУАЛЬНОЕ ЗАДАНИЕ НА УЧЕБНУЮ ПРАКТИКУ</w:t>
      </w:r>
    </w:p>
    <w:p w:rsidR="00000000" w:rsidDel="00000000" w:rsidP="00000000" w:rsidRDefault="00000000" w:rsidRPr="00000000" w14:paraId="00000046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Технологическая (проектно-технологическая) практика</w:t>
      </w:r>
    </w:p>
    <w:p w:rsidR="00000000" w:rsidDel="00000000" w:rsidP="00000000" w:rsidRDefault="00000000" w:rsidRPr="00000000" w14:paraId="00000047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Студенту 4 курса учебной группы ЭФБО-06-22</w:t>
      </w:r>
    </w:p>
    <w:p w:rsidR="00000000" w:rsidDel="00000000" w:rsidP="00000000" w:rsidRDefault="00000000" w:rsidRPr="00000000" w14:paraId="00000048">
      <w:pPr>
        <w:spacing w:line="240" w:lineRule="auto"/>
        <w:ind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Студент Холбоев Бахтиёр Уктамович</w:t>
      </w:r>
    </w:p>
    <w:p w:rsidR="00000000" w:rsidDel="00000000" w:rsidP="00000000" w:rsidRDefault="00000000" w:rsidRPr="00000000" w14:paraId="00000049">
      <w:pPr>
        <w:spacing w:line="240" w:lineRule="auto"/>
        <w:ind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Место и время практики: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РТУ МИРЭА, ИП, с 01 сентября 2025 г. по 20 декабря 2025 г</w:t>
      </w:r>
    </w:p>
    <w:p w:rsidR="00000000" w:rsidDel="00000000" w:rsidP="00000000" w:rsidRDefault="00000000" w:rsidRPr="00000000" w14:paraId="0000004A">
      <w:pPr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Должность на практике: </w:t>
      </w:r>
      <w:r w:rsidDel="00000000" w:rsidR="00000000" w:rsidRPr="00000000">
        <w:rPr>
          <w:sz w:val="24"/>
          <w:szCs w:val="24"/>
          <w:u w:val="single"/>
          <w:rtl w:val="0"/>
        </w:rPr>
        <w:tab/>
        <w:t xml:space="preserve">студент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69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СОДЕРЖАНИЕ ПРАКТИКИ: </w:t>
      </w:r>
    </w:p>
    <w:p w:rsidR="00000000" w:rsidDel="00000000" w:rsidP="00000000" w:rsidRDefault="00000000" w:rsidRPr="00000000" w14:paraId="0000004C">
      <w:pPr>
        <w:spacing w:line="269" w:lineRule="auto"/>
        <w:ind w:left="36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1.1. Изучить: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профессиональные стандарты в профессиональной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69" w:lineRule="auto"/>
        <w:ind w:left="36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1.2. Практически выполнить: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задания в профессиональной области от непосредственного руководителя в структуре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69" w:lineRule="auto"/>
        <w:ind w:left="36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1.3. Ознакомиться: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нормы труда в профессиональной области, локальные нормативные акты в организации, правила охраны труда и должностные инструкции.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69" w:lineRule="auto"/>
        <w:ind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ДОПОЛНИТЕЛЬНОЕ ЗАДАНИЕ: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По итогам выполнения исследования необходимо подготовить отчёт по практике в заданной форме.</w:t>
      </w:r>
    </w:p>
    <w:p w:rsidR="00000000" w:rsidDel="00000000" w:rsidP="00000000" w:rsidRDefault="00000000" w:rsidRPr="00000000" w14:paraId="00000050">
      <w:pPr>
        <w:spacing w:line="269" w:lineRule="auto"/>
        <w:ind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ОРГАНИЗАЦИОННО-МЕТОДИЧЕСКИЕ УКАЗАНИЯ: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В процессе прохождения практики следует загружать результаты выполнения в рабочую область в системе дистанционного обучения.</w:t>
      </w:r>
    </w:p>
    <w:tbl>
      <w:tblPr>
        <w:tblStyle w:val="Table4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9"/>
        <w:gridCol w:w="2081"/>
        <w:gridCol w:w="1923"/>
        <w:gridCol w:w="2278"/>
        <w:tblGridChange w:id="0">
          <w:tblGrid>
            <w:gridCol w:w="3749"/>
            <w:gridCol w:w="2081"/>
            <w:gridCol w:w="1923"/>
            <w:gridCol w:w="227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от кафедры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«01» __сентября_____ 2025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bottom w:color="000000" w:space="1" w:sz="12" w:val="single"/>
              </w:pBdr>
              <w:spacing w:line="240" w:lineRule="auto"/>
              <w:ind w:firstLine="708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          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(Клесов Д.Н.)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от кафедры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«01» __сентября_____ 2025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bottom w:color="000000" w:space="1" w:sz="12" w:val="single"/>
              </w:pBdr>
              <w:spacing w:line="240" w:lineRule="auto"/>
              <w:ind w:firstLine="708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         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(Насимов Р.Р.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Задание получил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«01» __сентября_____ 2025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          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(Холбоев Б.У.)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СОГЛАСОВАНО: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Заведующий кафедрой: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«01» ___сентября____ 2025 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pBdr>
                <w:bottom w:color="000000" w:space="1" w:sz="12" w:val="single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          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(Юдин А.В.)</w:t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line="276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1.0" w:type="dxa"/>
        <w:jc w:val="left"/>
        <w:tblLayout w:type="fixed"/>
        <w:tblLook w:val="00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w:drawing>
                <wp:inline distB="0" distT="0" distL="0" distR="0">
                  <wp:extent cx="992600" cy="112469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6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1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sdt>
              <w:sdtPr>
                <w:id w:val="195685516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«МИРЭА − Российский технологический университет»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РАБОЧИЙ ГРАФИК ПРОВЕДЕНИЯ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ОЗНАКОМИТЕЛЬНОЙ ПРАКТИКИ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Студент: Холбоев Б.У. 4 курса группы ЭФБО-06-22 очной формы обучения, обучающегося по направлению подготовки 09.03.02 «Информационные системы и технологии».</w:t>
      </w:r>
    </w:p>
    <w:tbl>
      <w:tblPr>
        <w:tblStyle w:val="Table6"/>
        <w:tblW w:w="10155.0" w:type="dxa"/>
        <w:jc w:val="left"/>
        <w:tblInd w:w="-5.0" w:type="dxa"/>
        <w:tblLayout w:type="fixed"/>
        <w:tblLook w:val="0000"/>
      </w:tblPr>
      <w:tblGrid>
        <w:gridCol w:w="1065"/>
        <w:gridCol w:w="1455"/>
        <w:gridCol w:w="4425"/>
        <w:gridCol w:w="3210"/>
        <w:tblGridChange w:id="0">
          <w:tblGrid>
            <w:gridCol w:w="1065"/>
            <w:gridCol w:w="1455"/>
            <w:gridCol w:w="4425"/>
            <w:gridCol w:w="3210"/>
          </w:tblGrid>
        </w:tblGridChange>
      </w:tblGrid>
      <w:tr>
        <w:trPr>
          <w:cantSplit w:val="0"/>
          <w:trHeight w:val="7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line="23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line="23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3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line="23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line="23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Отметка о выполнении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01.09.2025 по 28.09.2025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Подготовительный этап, включающий в себя организационное собрание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29.09.2025 по 23.11.2025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Выполнение задания по практике в соответствии с выданным заданием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24.11.2025 по 07.12.2025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Подготовка отчета по практике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08.12.2025 по 20.12.2025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отчета по практике у руководителя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</w:p>
        </w:tc>
      </w:tr>
    </w:tbl>
    <w:p w:rsidR="00000000" w:rsidDel="00000000" w:rsidP="00000000" w:rsidRDefault="00000000" w:rsidRPr="00000000" w14:paraId="00000091">
      <w:pPr>
        <w:tabs>
          <w:tab w:val="left" w:leader="none" w:pos="3402"/>
        </w:tabs>
        <w:spacing w:after="240" w:line="240" w:lineRule="auto"/>
        <w:ind w:firstLine="0"/>
        <w:jc w:val="left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center" w:leader="none" w:pos="4960"/>
        </w:tabs>
        <w:spacing w:after="3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 от</w:t>
        <w:tab/>
        <w:br w:type="textWrapping"/>
        <w:t xml:space="preserve">кафедры</w:t>
        <w:tab/>
        <w:t xml:space="preserve">_________________/ Клесов Д.Н., доцент/</w:t>
      </w:r>
    </w:p>
    <w:p w:rsidR="00000000" w:rsidDel="00000000" w:rsidP="00000000" w:rsidRDefault="00000000" w:rsidRPr="00000000" w14:paraId="00000093">
      <w:pPr>
        <w:tabs>
          <w:tab w:val="center" w:leader="none" w:pos="4960"/>
        </w:tabs>
        <w:spacing w:after="3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 от</w:t>
        <w:tab/>
        <w:br w:type="textWrapping"/>
        <w:t xml:space="preserve">профильной организации</w:t>
        <w:tab/>
        <w:t xml:space="preserve">_________________/ Насимов Р.Р., генеральный директор/</w:t>
      </w:r>
    </w:p>
    <w:p w:rsidR="00000000" w:rsidDel="00000000" w:rsidP="00000000" w:rsidRDefault="00000000" w:rsidRPr="00000000" w14:paraId="00000094">
      <w:pPr>
        <w:tabs>
          <w:tab w:val="center" w:leader="none" w:pos="4960"/>
        </w:tabs>
        <w:spacing w:after="3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Обучающийся</w:t>
        <w:tab/>
        <w:t xml:space="preserve">_________________/ Холбоев Б.У. /</w:t>
      </w:r>
    </w:p>
    <w:p w:rsidR="00000000" w:rsidDel="00000000" w:rsidP="00000000" w:rsidRDefault="00000000" w:rsidRPr="00000000" w14:paraId="00000095">
      <w:pPr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3402"/>
        </w:tabs>
        <w:spacing w:after="240" w:line="240" w:lineRule="auto"/>
        <w:ind w:firstLine="0"/>
        <w:jc w:val="left"/>
        <w:rPr>
          <w:sz w:val="24"/>
          <w:szCs w:val="24"/>
        </w:rPr>
        <w:sectPr>
          <w:type w:val="nextPage"/>
          <w:pgSz w:h="16839" w:w="11907" w:orient="portrait"/>
          <w:pgMar w:bottom="1134" w:top="1134" w:left="1418" w:right="567" w:header="709" w:footer="709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Заведующий кафедрой</w:t>
        <w:tab/>
        <w:t xml:space="preserve">_________________/Юдин А.В./</w:t>
      </w:r>
    </w:p>
    <w:p w:rsidR="00000000" w:rsidDel="00000000" w:rsidP="00000000" w:rsidRDefault="00000000" w:rsidRPr="00000000" w14:paraId="00000097">
      <w:pPr>
        <w:tabs>
          <w:tab w:val="left" w:leader="none" w:pos="3402"/>
        </w:tabs>
        <w:spacing w:after="24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/>
      </w:pPr>
      <w:bookmarkStart w:colFirst="0" w:colLast="0" w:name="_heading=h.ibzcm0g3rr4g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7774282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bzcm0g3rr4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6blqk4kpb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eul8t178ad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ПЕРЕЧЕНЬ ВЫПОЛНЕННЫХ РАБОТ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bmmh3tbq0h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Реализация моделей Many-to-Many в NestJS + TypeORM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nigol8y5iy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Механизм автоматической нормализации и проверки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ti93vmz8t4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Реализация JWT-аутентификации и механизма refresh-токенов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lyqa7y73e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React-компонент поиска с дебаунсом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mszptsaza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Docker Compose: поднять три сервиса (Node + PostgreSQL + pgAdmin)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ymcbjvu4hf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2">
      <w:pPr>
        <w:pStyle w:val="Heading1"/>
        <w:jc w:val="center"/>
        <w:rPr/>
      </w:pPr>
      <w:bookmarkStart w:colFirst="0" w:colLast="0" w:name="_heading=h.g6blqk4kpb58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Современная IT-индустрия стремительно развивается, что очень требует качественной подготовки специалистов в области программной инженерии. Теоретические знания, полученные в процессе обучения, составляют основу профессиональной компетентности, но именно практика позволяет перенести эти знания в реальную производственную среду, ознакомиться со стандартами развития предприятия и овладеть прикладными навыками, необходимыми в отрасли. Практика становится основополагающим этапом в формировании будущего разработчика, обеспечивающим его интеграцию в процессы и инструменты современных компаниях.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Основной целью этой практики было получение опыта участия во всем цикле разработки и обслуживания программных решений. В рамках задачи требовалось решать задачи, связанные с обработкой и аутентификацией данных, оптимизацией производительности серверных компонентов, внедрением механизмов реального времени и настройкой системы контроля доступа. Это позволило нам изучить особенности построения архитектуры корпоративной системы, взаимодействия между микросервисами, организации API и управления данными на уровне базы данных.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 ходе стажировки были освоены и претворены в жизнь основные элементы профессиональной деятельности разработчика: работа с системами контроля версий, участие в процессе проверки кода, следование шаблонам стиля кода, работа в команде для решения сложных технических задач. Реализация функций для массового импорта данных, разработка сервиса для обработки пакетов JSON партнерами, оптимизация производительности отдельных модулей, внедрение веб-уведомлений и создание системы ролей и доступа позволили углубиться в реальные бизнес-задачи и понять принципы создания надежных и масштабируемых приложений.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Накопленный опыт стал важным этапом профессионального роста, который позволяет не только углублять технические компетенции, но и развивать навыки анализа требований, оценки сложности задач, разработки решений и работы в среде развития команды. Практика позволила нам увидеть работу ИТ-компании изнутри, объединить теоретические знания с реальными производственными процессами и определить направления профессионального развития.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eul8t178ad6o" w:id="2"/>
      <w:bookmarkEnd w:id="2"/>
      <w:r w:rsidDel="00000000" w:rsidR="00000000" w:rsidRPr="00000000">
        <w:rPr>
          <w:rtl w:val="0"/>
        </w:rPr>
        <w:t xml:space="preserve">ПЕРЕЧЕНЬ ВЫПОЛНЕННЫХ РАБОТ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9bmmh3tbq0ht" w:id="3"/>
      <w:bookmarkEnd w:id="3"/>
      <w:r w:rsidDel="00000000" w:rsidR="00000000" w:rsidRPr="00000000">
        <w:rPr>
          <w:rtl w:val="0"/>
        </w:rPr>
        <w:t xml:space="preserve">1. Реализация моделей Many-to-Many в NestJS + TypeORM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 5 сентября 2025 г.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 </w:t>
      </w:r>
      <w:r w:rsidDel="00000000" w:rsidR="00000000" w:rsidRPr="00000000">
        <w:rPr>
          <w:rtl w:val="0"/>
        </w:rPr>
        <w:t xml:space="preserve">Насимов Р.Р., руководитель отдела разработки.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10 рабочих дней.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Система должна обеспечивать управление проектами и пользователями, но текущая архитектура не позволяет связать один объект с несколькими элементами другого, и наоборот. Вам необходимо разработать соответствующие объекты user и project, установить двустороннюю связь "Many-to-Many" между ними и предоставить пользователям возможность ознакомиться с проектом. Эта функция поможет вам правильно создавать промежуточные таблицы и загружать связанные данные через API.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 рамках работы сначала было проанализировано взаимодействие с объектом предметной области "Проект" и сущностью "Пользователь". В зависимости от требований было определено, что одна сущность может относиться ко многим объектам из другой сущности и наоборот, что соответствует соотношению "Many-to-Many".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На втором этапе были созданы два типа объектов: user и project. Были описаны поля для обеих моделей и добавлены многие декораторы @ManyToMany. В сущности пользователя функция @JoinTable() определена таким образом, что промежуточные таблицы user_projects могут создаваться автоматически без ручного объяснения.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После создания объекта была создана логика для импорта данных из сервиса. Используя встроенный механизм relations, связанные объекты загружаются в один запрос. Таким образом, при доступе к проекту вы можете получить всю пользовательскую структуру проекта.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Наконец, модель была протестирована. Добавлены тестовые записи, подтверждена точность создания ссылок и извлечения данных. Данная проверка показала корректность формирования результирующей структуры и соответствие требованиям к ее работе.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3 рабочих дня.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Фрагмент кода, написанного в рамках реализации данной задачи представлен на Рисунках 1.1 и 1.2.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502531" cy="225064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531" cy="225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1.1 – Фрагменты кода сущности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4649750" cy="229093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750" cy="229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Фрагменты кода сущности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«Связи настроены правильно, данные загружаются корректно. Задача полностью выполнена».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tnigol8y5iy3" w:id="4"/>
      <w:bookmarkEnd w:id="4"/>
      <w:r w:rsidDel="00000000" w:rsidR="00000000" w:rsidRPr="00000000">
        <w:rPr>
          <w:rtl w:val="0"/>
        </w:rPr>
        <w:t xml:space="preserve">2. Механизм автоматической нормализации и проверки данных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25 сентября 2025 г.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Насимов Р.Р., руководитель отдела разработки.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10 рабочих дня.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В системе отсутствуют средства для автоматической обработки поступающих данных от внешних партнеров. Вы должны реализовать функциональность, которая позволит вам принимать JSON-пакеты с информацией о клиентах, проверять обязательные поля (полное имя, адрес электронной почты, номер телефона, источник), нормализовать номера телефонов, проверять правильный и уникальный адрес электронной почты, а также сообщать о количестве успешно обработанных регистраций и ошибках, которые могут быть вызваны. можете указать причину. укажите для каждой недопустимой записи.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 рамках работы была проанализирована структура входных данных от партнеров и определены поля, необходимые для обработки: полное имя, адрес электронной почты, телефон, источник. На втором этапе была реализована логика получения и нормализации JSON-пакетов: проверка корректности электронных писем, нормализация телефонных номеров, проверка уникальности данных и ошибок регистрации. Сервис формирует отчет о количестве успешных и ошибочных вводов, позволяя менеджерам оперативно реагировать на неточные данные. После разработки функциональность была протестирована на тестовых данных и была подтверждена корректность обработки и составления отчетов. Работа выполнена качественно, решение полностью соответствует ожидаемым требованиям и функционалу..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2.5 рабочих дня.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Результаты оптимизации представлены на Рисунке 2.1.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300762" cy="4187849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762" cy="418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Фрагмент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«Качественный блогер, который хочет получить доступ к информации, позволяет получать информацию о том, что происходит в интернете. Все это позволяет корректно отправить JSON-файл в Pflichtfelder, адрес электронной почты и телефонный номер указаны как нормальные и действительные. В системе также есть подробный отчет об улучшении условий труда и занятости персонала, для удобства управления и интеграции с внешним партнером erheblich erleichtert. "Ангевандтен" - это метод, основанный на стандартах и практике для решения проблем, возникающих у людей", - говорится в документе. Дас Эрджебнис - это место, где происходят события, связанные с Эрзибартунгом».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j9n3zckkl8y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3ti93vmz8t40" w:id="6"/>
      <w:bookmarkEnd w:id="6"/>
      <w:r w:rsidDel="00000000" w:rsidR="00000000" w:rsidRPr="00000000">
        <w:rPr>
          <w:rtl w:val="0"/>
        </w:rPr>
        <w:t xml:space="preserve">3. Реализация JWT-аутентификации и механизма refresh-токенов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 15 октября 2025 г.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 </w:t>
      </w:r>
      <w:r w:rsidDel="00000000" w:rsidR="00000000" w:rsidRPr="00000000">
        <w:rPr>
          <w:rtl w:val="0"/>
        </w:rPr>
        <w:t xml:space="preserve">Насимов Р.Р., руководитель отдела разработки.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7 рабочих дней.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Разработать систему аутентификации на основе JWT с двумя токенами (access + refresh). Реализовать маршруты /login и /refresh, обеспечить защиту данных и обновление сессии без повторного входа.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На первом этапе я изучил текущую архитектуру на стороне сервера и определил требования к механизму аутентификации (поддержка недолговечных токенов доступа, наличие токенов обновления и возможность безопасного обновления сеансов без повторного входа в систему). В зависимости от требований был выбран подход с использованием библиотеки JSON Web Token и статического хранилища refresh-токенов.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На втором этапе была разработана логика для обработки запроса /login. В рамках процесса сервер генерирует две пары токенов: кратковременный токен (access-токен) доступа (15 секунд) и долговременный токен (refresh-токен) обновления (7 дней). Токен доступа используется для подтверждения запроса, а токен обновления используется для обновления сеанса. После создания токен обновления сохраняется на сервере в виде массива допустимых токенов.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Следующим шагом является обработка пути /refresh. Сервер принимает refresh-токен, проверяет, существует ли токен в хранилище, и проверяет подпись. Для успешной проверки генерируется новый access-токен. Если токен недействителен, сервер корректно возвращает состояние 403.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По окончании операции была выполнена унифицированная проверка пар токенов: успешная авторизация, получение токенов access-токена, корректная выдача новых токенов через /refresh. Логика была протестирована с помощью Postman, что подтвердило правильность схемы сертификации и соответствие требованиям.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4 рабочих дня.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Фрагмент кода, написанного в рамках реализации данной задачи представлен на Рисунке 3.1.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279839" cy="4376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839" cy="43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3.1 – Фрагменты кода аутентификации и механизма refresh-токенов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«Функционал реализован корректно, обновление токена работает стабильно. Предусмотрены ошибки и проверки. Задача выполнена в полном объёме».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eading=h.ylyqa7y73e95" w:id="7"/>
      <w:bookmarkEnd w:id="7"/>
      <w:r w:rsidDel="00000000" w:rsidR="00000000" w:rsidRPr="00000000">
        <w:rPr>
          <w:rtl w:val="0"/>
        </w:rPr>
        <w:t xml:space="preserve">4. React-компонент поиска с дебаунсом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10 ноября 2025 г.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 </w:t>
      </w:r>
      <w:r w:rsidDel="00000000" w:rsidR="00000000" w:rsidRPr="00000000">
        <w:rPr>
          <w:rtl w:val="0"/>
        </w:rPr>
        <w:t xml:space="preserve">Насимов Р.Р., руководитель отдела разработки.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 </w:t>
      </w:r>
      <w:r w:rsidDel="00000000" w:rsidR="00000000" w:rsidRPr="00000000">
        <w:rPr>
          <w:rtl w:val="0"/>
        </w:rPr>
        <w:t xml:space="preserve">5 рабочих дня.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 пользовательском интерфейсе отсутствует оптимизированная поисковая система, что приводит к множеству ненужных вычислений при быстром вводе текста - это замедляет работу приложения. Необходимо разработать компонент React Search с использованием debounce, который будет обрабатывать пользовательский ввод с задержкой и фильтровать данные только после завершения ввода. Решение должно снизить нагрузку на интерфейс и обеспечить бесперебойную работу.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Работа началась с анализа требований пользователей: поиск должен работать без задержек для интерфейса, но он не должен отправлять запрос каждые несколько миллисекунд при быстром вводе текста. Для повторения этой задачи был выбран метод разборки с саженкой в 500 мс.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На втором этапе была реализована функция debounce, которая позволяет отложить фильтрацию до тех пор, пока пользователь не перестанет печатать. Информация была встроена в приложение вместо useMemo, что вы избежите от правительства для создания приложения.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Следующим шагом является разработка логики фильтрации данных. В зависимости от значения преобразуется список элементов, который обновляется только по истечении задержки. Это сводит к минимуму количество вычислений и перерисовок интерфейса, что повышает производительность.</w:t>
      </w:r>
    </w:p>
    <w:p w:rsidR="00000000" w:rsidDel="00000000" w:rsidP="00000000" w:rsidRDefault="00000000" w:rsidRPr="00000000" w14:paraId="000000E6">
      <w:pPr>
        <w:ind w:left="0" w:firstLine="720"/>
        <w:rPr/>
      </w:pPr>
      <w:r w:rsidDel="00000000" w:rsidR="00000000" w:rsidRPr="00000000">
        <w:rPr>
          <w:rtl w:val="0"/>
        </w:rPr>
        <w:t xml:space="preserve">На заключительном этапе компонент был протестирован вручную. Были протестированы скрипты для быстрого ввода символов, удаления текста, повторного ввода и проверки на нечувствительность к регистру. Компонент показал стабильную работу, каждый ввод был корректно обработан с задержкой, соответствующей требованиям.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 рабочих дня.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Результаты оптимизации представлены на Рисунке 4.1.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11683" cy="23095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683" cy="230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4.1 – Результаты оптимизации загрузки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«Эта функция качественно реализована. Использование debounds значительно снизило нагрузку на интерфейс и улучшило отзывчивость приложения. Логика компонентов хорошо продумана и может быть легко расширена. Все пользовательские скрипты обрабатываются правильно. Результат полностью соответствует ожиданиям и требованиям оптимизации».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hmszptsazajs" w:id="8"/>
      <w:bookmarkEnd w:id="8"/>
      <w:r w:rsidDel="00000000" w:rsidR="00000000" w:rsidRPr="00000000">
        <w:rPr>
          <w:rtl w:val="0"/>
        </w:rPr>
        <w:t xml:space="preserve">5. Docker Compose: поднять три сервиса (Node + PostgreSQL + pgAdmin)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25 ноября 2025 г.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 Насимов Р.Р., руководитель отдела разработки.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 </w:t>
      </w:r>
      <w:r w:rsidDel="00000000" w:rsidR="00000000" w:rsidRPr="00000000">
        <w:rPr>
          <w:rtl w:val="0"/>
        </w:rPr>
        <w:t xml:space="preserve">15 рабочих дня.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Чтобы упростить разработку и тестирование, не существует централизованного инструмента для запуска всех служб project. Вам необходимо создать конфигурацию Docker Compose, которая настраивает серверную часть, базу данных PostgreSQL и панель управления pgAdmin как отдельные контейнеры. Решение должно включать в себя конфигурации сервисной сети, переадресацию портов и варианты предоставления базы данных, что позволит вместо этого развернуть полноценную среду тестирования.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На первом этапе был проведен анализ компонентов, которые необходимо развернуть в контейнерах: сервер Node.js, база данных PostgreSQL и административная панель pgAdmin. Параметры также были определены для обеспечения взаимодействия служб друг с другом, включая единое сетевое пространство Docker.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Затем был разработан файл docker-compose.yml, который описывает три услуги. Для серверной службы было добавлено правило компиляции локального каталога и переадресации портов 3000. Для PostgreSQL устанавливаются переменные среды, необходимые для начальной инициализации базы данных. Служба pgadmin получает имя пользователя и пароль администратора, а также переадресацию портов для доступа к браузеру.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На следующем этапе контейнеры были собраны и спущены на воду. В процессе тестирования были проверены: доступ к API внутреннего сервера, успешное подключение pgAdmin к базе данных, правильность автоматического создания контейнеров и стабильность трех служб одновременно.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В результате инфраструктура была успешно развернута, контейнеры работали стабильно, а взаимодействие между службами осуществлялось корректно. Конфигурация может быть использована в качестве основы для дальнейшей реализации проекта в тестовой среде.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15 рабочих дня.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Результаты оптимизации представлены на Рисунке 5.1.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256848" cy="356451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6848" cy="3564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5.1 – Фрагмент конфигурации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«Подготовленный Docker-Compose обеспечивает удобный и быстрый запуск всей инфраструктуры в локальной среде. Все службы правильно взаимодействуют друг с другом, конфигурация прозрачна и соответствует передовым методам DevOps. Результат стабилен и может быть использован в качестве основы для дальнейшей автоматизации. Работа ведется на высоком уровне».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jc w:val="center"/>
        <w:rPr/>
      </w:pPr>
      <w:bookmarkStart w:colFirst="0" w:colLast="0" w:name="_heading=h.ymcbjvu4hf7s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Подводя итоги производственной практики, можно уверенно отметить, что все поставленные задачи были успешно выполнены, а цели практики — достигнуты в полном объёме. Выполнение комплекса технических задач позволило получить всестороннее представление о структуре, организации и реальных рабочих процессах современной IT-компании, а также закрепить знания, полученные в ходе обучения. Практика стала важным шагом в формировании профессионального стиля работы, поскольку позволила не только применить теорию на практике, но и интегрироваться в процессы, типичные для корпоративной разработки.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В рамках практики была выполнена работа над различными аспектами разработки серверной части: реализован функционал массового импорта CSV-данных, создан сервис для обработки JSON-пакетов от внешних партнёров, проведена оптимизация производительности отдельных модулей системы, внедрён механизм WebSocket-уведомлений для обновления данных в реальном времени, а также разработана гибкая система управления ролями и правами доступа. Эти задачи охватывали широкий спектр технологий — от работы с базой данных и построения API до оптимизации SQL-запросов, интеграционных процессов и организации архитектуры приложения.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Полученный опыт работы в команде, участие в планировании, понимание процессов код-ревью и соблюдение регламентов разработки способствовали формированию профессиональной дисциплины и ответственности. Решение прикладных задач в составе настоящего проекта позволило почувствовать значимость технических решений и их влияние на удобство пользователей, производительность системы и бизнес-ценность продукта.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Таким образом, практика стала важным этапом профессионального становления. Она позволила сформировать системный подход к проектированию и реализации функционала, расширить технические компетенции, развить навыки коммуникации и командного взаимодействия. Полученный опыт служит прочной основой для дальнейшего развития в направлении веб-разработки и формирования полноценного профессионального профиля специалиста в области full-stack разработки. </w:t>
      </w:r>
    </w:p>
    <w:sectPr>
      <w:type w:val="continuous"/>
      <w:pgSz w:h="16839" w:w="11907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48078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48078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48078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2"/>
    <w:link w:val="1"/>
    <w:uiPriority w:val="9"/>
    <w:rsid w:val="00001FF5"/>
    <w:rPr>
      <w:rFonts w:ascii="Times New Roman" w:hAnsi="Times New Roman" w:cstheme="majorBidi" w:eastAsiaTheme="majorEastAsia"/>
      <w:b w:val="1"/>
      <w:caps w:val="1"/>
      <w:sz w:val="36"/>
      <w:szCs w:val="40"/>
    </w:rPr>
  </w:style>
  <w:style w:type="character" w:styleId="20" w:customStyle="1">
    <w:name w:val="Заголовок 2 Знак"/>
    <w:basedOn w:val="a2"/>
    <w:link w:val="2"/>
    <w:uiPriority w:val="9"/>
    <w:rsid w:val="00001FF5"/>
    <w:rPr>
      <w:rFonts w:ascii="Times New Roman" w:hAnsi="Times New Roman" w:cstheme="majorBidi" w:eastAsiaTheme="majorEastAsia"/>
      <w:b w:val="1"/>
      <w:sz w:val="32"/>
      <w:szCs w:val="32"/>
    </w:rPr>
  </w:style>
  <w:style w:type="character" w:styleId="30" w:customStyle="1">
    <w:name w:val="Заголовок 3 Знак"/>
    <w:basedOn w:val="a2"/>
    <w:link w:val="3"/>
    <w:uiPriority w:val="9"/>
    <w:rsid w:val="00001FF5"/>
    <w:rPr>
      <w:rFonts w:ascii="Times New Roman" w:hAnsi="Times New Roman" w:cstheme="majorBidi" w:eastAsiaTheme="majorEastAsia"/>
      <w:b w:val="1"/>
      <w:sz w:val="28"/>
      <w:szCs w:val="28"/>
    </w:rPr>
  </w:style>
  <w:style w:type="character" w:styleId="40" w:customStyle="1">
    <w:name w:val="Заголовок 4 Знак"/>
    <w:basedOn w:val="a2"/>
    <w:link w:val="4"/>
    <w:uiPriority w:val="9"/>
    <w:semiHidden w:val="1"/>
    <w:rsid w:val="0048078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480786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48078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2"/>
    <w:link w:val="7"/>
    <w:uiPriority w:val="9"/>
    <w:semiHidden w:val="1"/>
    <w:rsid w:val="00480786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2"/>
    <w:link w:val="8"/>
    <w:uiPriority w:val="9"/>
    <w:semiHidden w:val="1"/>
    <w:rsid w:val="0048078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2"/>
    <w:link w:val="9"/>
    <w:uiPriority w:val="9"/>
    <w:semiHidden w:val="1"/>
    <w:rsid w:val="00480786"/>
    <w:rPr>
      <w:rFonts w:cstheme="majorBidi" w:eastAsiaTheme="majorEastAsia"/>
      <w:color w:val="272727" w:themeColor="text1" w:themeTint="0000D8"/>
    </w:rPr>
  </w:style>
  <w:style w:type="character" w:styleId="a6" w:customStyle="1">
    <w:name w:val="Заголовок Знак"/>
    <w:basedOn w:val="a2"/>
    <w:link w:val="a5"/>
    <w:uiPriority w:val="10"/>
    <w:rsid w:val="004807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8" w:customStyle="1">
    <w:name w:val="Подзаголовок Знак"/>
    <w:basedOn w:val="a2"/>
    <w:link w:val="a7"/>
    <w:uiPriority w:val="11"/>
    <w:rsid w:val="004807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2"/>
    <w:link w:val="21"/>
    <w:uiPriority w:val="29"/>
    <w:rsid w:val="00480786"/>
    <w:rPr>
      <w:i w:val="1"/>
      <w:iCs w:val="1"/>
      <w:color w:val="404040" w:themeColor="text1" w:themeTint="0000BF"/>
    </w:rPr>
  </w:style>
  <w:style w:type="paragraph" w:styleId="a9">
    <w:name w:val="List Paragraph"/>
    <w:basedOn w:val="a1"/>
    <w:uiPriority w:val="34"/>
    <w:qFormat w:val="1"/>
    <w:rsid w:val="00480786"/>
    <w:pPr>
      <w:ind w:left="720"/>
      <w:contextualSpacing w:val="1"/>
    </w:pPr>
  </w:style>
  <w:style w:type="character" w:styleId="aa">
    <w:name w:val="Intense Emphasis"/>
    <w:basedOn w:val="a2"/>
    <w:uiPriority w:val="21"/>
    <w:rsid w:val="00480786"/>
    <w:rPr>
      <w:i w:val="1"/>
      <w:iCs w:val="1"/>
      <w:color w:val="0f4761" w:themeColor="accent1" w:themeShade="0000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Выделенная цитата Знак"/>
    <w:basedOn w:val="a2"/>
    <w:link w:val="ab"/>
    <w:uiPriority w:val="30"/>
    <w:rsid w:val="00480786"/>
    <w:rPr>
      <w:i w:val="1"/>
      <w:iCs w:val="1"/>
      <w:color w:val="0f4761" w:themeColor="accent1" w:themeShade="0000BF"/>
    </w:rPr>
  </w:style>
  <w:style w:type="character" w:styleId="ad">
    <w:name w:val="Intense Reference"/>
    <w:basedOn w:val="a2"/>
    <w:uiPriority w:val="32"/>
    <w:rsid w:val="00480786"/>
    <w:rPr>
      <w:b w:val="1"/>
      <w:bCs w:val="1"/>
      <w:smallCaps w:val="1"/>
      <w:color w:val="0f4761" w:themeColor="accent1" w:themeShade="0000BF"/>
      <w:spacing w:val="5"/>
    </w:rPr>
  </w:style>
  <w:style w:type="paragraph" w:styleId="11">
    <w:name w:val="toc 1"/>
    <w:basedOn w:val="a1"/>
    <w:next w:val="a1"/>
    <w:autoRedefine w:val="1"/>
    <w:uiPriority w:val="39"/>
    <w:unhideWhenUsed w:val="1"/>
    <w:rsid w:val="00001FF5"/>
    <w:pPr>
      <w:spacing w:after="100"/>
    </w:pPr>
  </w:style>
  <w:style w:type="paragraph" w:styleId="23">
    <w:name w:val="toc 2"/>
    <w:basedOn w:val="a1"/>
    <w:next w:val="a1"/>
    <w:autoRedefine w:val="1"/>
    <w:uiPriority w:val="39"/>
    <w:unhideWhenUsed w:val="1"/>
    <w:rsid w:val="00001FF5"/>
    <w:pPr>
      <w:spacing w:after="100"/>
      <w:ind w:left="280"/>
    </w:pPr>
  </w:style>
  <w:style w:type="paragraph" w:styleId="31">
    <w:name w:val="toc 3"/>
    <w:basedOn w:val="a1"/>
    <w:next w:val="a1"/>
    <w:autoRedefine w:val="1"/>
    <w:uiPriority w:val="39"/>
    <w:unhideWhenUsed w:val="1"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 w:val="1"/>
    <w:rsid w:val="00001FF5"/>
    <w:rPr>
      <w:color w:val="467886" w:themeColor="hyperlink"/>
      <w:u w:val="single"/>
    </w:rPr>
  </w:style>
  <w:style w:type="paragraph" w:styleId="af" w:customStyle="1">
    <w:name w:val="Таблица. Надпись"/>
    <w:basedOn w:val="a1"/>
    <w:link w:val="af0"/>
    <w:qFormat w:val="1"/>
    <w:rsid w:val="004500C1"/>
    <w:pPr>
      <w:keepNext w:val="1"/>
      <w:spacing w:before="120" w:line="240" w:lineRule="auto"/>
      <w:ind w:firstLine="0"/>
    </w:pPr>
    <w:rPr>
      <w:i w:val="1"/>
      <w:sz w:val="24"/>
    </w:rPr>
  </w:style>
  <w:style w:type="character" w:styleId="af0" w:customStyle="1">
    <w:name w:val="Таблица. Надпись Знак"/>
    <w:basedOn w:val="a2"/>
    <w:link w:val="af"/>
    <w:rsid w:val="004500C1"/>
    <w:rPr>
      <w:rFonts w:ascii="Times New Roman" w:hAnsi="Times New Roman"/>
      <w:i w:val="1"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af2" w:customStyle="1">
    <w:name w:val="Таблица. Содержимое"/>
    <w:basedOn w:val="a1"/>
    <w:link w:val="af3"/>
    <w:qFormat w:val="1"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styleId="af3" w:customStyle="1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styleId="af4" w:customStyle="1">
    <w:name w:val="Рисунок. Подпись"/>
    <w:basedOn w:val="a1"/>
    <w:next w:val="a1"/>
    <w:link w:val="af5"/>
    <w:qFormat w:val="1"/>
    <w:rsid w:val="00A2515A"/>
    <w:pPr>
      <w:spacing w:after="120" w:line="240" w:lineRule="auto"/>
      <w:ind w:firstLine="0"/>
      <w:jc w:val="center"/>
    </w:pPr>
    <w:rPr>
      <w:b w:val="1"/>
      <w:sz w:val="24"/>
    </w:rPr>
  </w:style>
  <w:style w:type="character" w:styleId="af5" w:customStyle="1">
    <w:name w:val="Рисунок. Подпись Знак"/>
    <w:basedOn w:val="a2"/>
    <w:link w:val="af4"/>
    <w:rsid w:val="00A2515A"/>
    <w:rPr>
      <w:rFonts w:ascii="Times New Roman" w:hAnsi="Times New Roman"/>
      <w:b w:val="1"/>
    </w:rPr>
  </w:style>
  <w:style w:type="table" w:styleId="22222" w:customStyle="1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a" w:customStyle="1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styleId="a0" w:customStyle="1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 w:val="1"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cs="Times New Roman" w:asciiTheme="minorHAnsi" w:eastAsiaTheme="minorEastAsia" w:hAnsiTheme="minorHAnsi"/>
      <w:kern w:val="0"/>
      <w:sz w:val="22"/>
      <w:szCs w:val="22"/>
      <w:lang w:eastAsia="ru-RU"/>
    </w:rPr>
  </w:style>
  <w:style w:type="character" w:styleId="af7" w:customStyle="1">
    <w:name w:val="Нижний колонтитул Знак"/>
    <w:basedOn w:val="a2"/>
    <w:link w:val="af6"/>
    <w:uiPriority w:val="99"/>
    <w:rsid w:val="00BD1A98"/>
    <w:rPr>
      <w:rFonts w:cs="Times New Roman" w:eastAsiaTheme="minorEastAsia"/>
      <w:kern w:val="0"/>
      <w:sz w:val="22"/>
      <w:szCs w:val="22"/>
      <w:lang w:eastAsia="ru-RU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mkf4LTIuvyioL5jd4P90BOHYA==">CgMxLjAaFAoBMBIPCg0IB0IJEgdHdW5nc3VoGhQKATESDwoNCAdCCRIHR3VuZ3N1aBoUCgEyEg8KDQgHQgkSB0d1bmdzdWgyDmguaWJ6Y20wZzNycjRnMg5oLmc2YmxxazRrcGI1ODIOaC5ldWw4dDE3OGFkNm8yDmguOWJtbWgzdGJxMGh0Mg5oLnRuaWdvbDh5NWl5MzIOaC5qOW4zemNra2w4eTkyDmguM3RpOTN2bXo4dDQwMg5oLnlseXFhN3k3M2U5NTIOaC5obXN6cHRzYXphanMyDmgueW1jYmp2dTRoZjdzOAByITFOMERZdmVNVXN3bkU1WnNXYzVMamFKZTMzeG1zanV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2025-10-05T09:46:00Z</dcterms:created>
  <dc:creator>Рустам Астафьев</dc:creator>
</cp:coreProperties>
</file>