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only wells within two miles are old (1950s–2002), plugged, shallow vertical legacy wells — not active, not fracked, not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is the deep-horizontal minority,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Ward</w:t>
            </w:r>
          </w:p>
        </w:tc>
        <w:tc>
          <w:tcPr>
            <w:tcW w:type="dxa" w:w="2880"/>
          </w:tcPr>
          <w:p>
            <w:r/>
            <w:r>
              <w:rPr>
                <w:b w:val="0"/>
                <w:sz w:val="20"/>
              </w:rPr>
              <w:t>396</w:t>
            </w:r>
          </w:p>
        </w:tc>
        <w:tc>
          <w:tcPr>
            <w:tcW w:type="dxa" w:w="2880"/>
          </w:tcPr>
          <w:p>
            <w:r/>
            <w:r>
              <w:rPr>
                <w:b w:val="0"/>
                <w:sz w:val="20"/>
              </w:rPr>
              <w:t>7</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shd w:val="clear" w:color="auto" w:fill="EAF5EA"/>
          </w:tcPr>
          <w:p>
            <w:r/>
            <w:r>
              <w:rPr>
                <w:b/>
                <w:sz w:val="20"/>
              </w:rPr>
              <w:t>Other-5 average</w:t>
            </w:r>
          </w:p>
        </w:tc>
        <w:tc>
          <w:tcPr>
            <w:tcW w:type="dxa" w:w="2880"/>
            <w:shd w:val="clear" w:color="auto" w:fill="EAF5EA"/>
          </w:tcPr>
          <w:p>
            <w:r/>
            <w:r>
              <w:rPr>
                <w:b/>
                <w:sz w:val="20"/>
              </w:rPr>
              <w:t>1,034</w:t>
            </w:r>
          </w:p>
        </w:tc>
        <w:tc>
          <w:tcPr>
            <w:tcW w:type="dxa" w:w="2880"/>
            <w:shd w:val="clear" w:color="auto" w:fill="EAF5EA"/>
          </w:tcPr>
          <w:p>
            <w:r/>
            <w:r>
              <w:rPr>
                <w:b/>
                <w:sz w:val="20"/>
              </w:rPr>
              <w:t>17</w:t>
            </w:r>
          </w:p>
        </w:tc>
      </w:tr>
    </w:tbl>
    <w:p>
      <w:pPr>
        <w:spacing w:after="120"/>
      </w:pPr>
      <w:r>
        <w:rPr>
          <w:b w:val="0"/>
          <w:sz w:val="22"/>
        </w:rPr>
        <w:t>Pecos's ≈116 genuine new wells are roughly one-ninth of the average comparable county's (≈1,034); Martin, the most active, has ≈1,616. Genuine new shallow drilling is negligible in every county (≤35). On a new-drill basis Pecos is the least-drilled of the six — and, per Findings 1–6, essentially none of even that activity is within ten miles of the Caramba North tract.</w:t>
      </w:r>
    </w:p>
    <w:p>
      <w:pPr>
        <w:spacing w:after="120"/>
      </w:pPr>
      <w:r>
        <w:rPr>
          <w:b w:val="0"/>
          <w:i/>
          <w:sz w:val="22"/>
        </w:rPr>
        <w:t>Howard and Loving counties were requested for comparison; they lie outside the six-county Permian extent of the Railroad Commission dataset used here, and their wellbore records are not in this dataset. A comparable new-drill figure for those counties requires a separate RRC pull and can be added on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