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</w:pPr>
      <w:r>
        <w:rPr>
          <w:rFonts w:ascii="Calibri" w:hAnsi="Calibri"/>
          <w:b/>
          <w:color w:val="777777"/>
          <w:sz w:val="18"/>
        </w:rPr>
        <w:t>EMAIL DRAFT — copy everything below the line into Outlook</w:t>
      </w:r>
    </w:p>
    <w:p>
      <w:pPr>
        <w:spacing w:after="80" w:line="300" w:lineRule="auto"/>
      </w:pPr>
      <w:r>
        <w:rPr>
          <w:rFonts w:ascii="Calibri" w:hAnsi="Calibri"/>
          <w:b/>
          <w:color w:val="0F2C4D"/>
          <w:sz w:val="21"/>
        </w:rPr>
        <w:t xml:space="preserve">Subject: </w:t>
      </w:r>
      <w:r>
        <w:rPr>
          <w:rFonts w:ascii="Calibri" w:hAnsi="Calibri"/>
          <w:b w:val="0"/>
          <w:color w:val="0F2C4D"/>
          <w:sz w:val="21"/>
        </w:rPr>
        <w:t>Stargate Abilene diligence: the de-risked one — built, leased, $15B financed — and its anchor lease still blew up</w:t>
      </w:r>
    </w:p>
    <w:p>
      <w:r>
        <w:rPr>
          <w:color w:val="777777"/>
        </w:rPr>
        <w:t>————————————————————————————————————————</w:t>
      </w:r>
    </w:p>
    <w:p>
      <w:pPr>
        <w:spacing w:after="160" w:line="300" w:lineRule="auto"/>
      </w:pPr>
      <w:r>
        <w:rPr>
          <w:rFonts w:ascii="Calibri" w:hAnsi="Calibri"/>
          <w:b w:val="0"/>
          <w:sz w:val="22"/>
        </w:rPr>
        <w:t>Mel,</w:t>
      </w:r>
    </w:p>
    <w:p>
      <w:pPr>
        <w:spacing w:after="160" w:line="300" w:lineRule="auto"/>
      </w:pPr>
      <w:r>
        <w:rPr>
          <w:rFonts w:ascii="Calibri" w:hAnsi="Calibri"/>
          <w:b w:val="0"/>
          <w:sz w:val="22"/>
        </w:rPr>
        <w:t>Attached is the full diligence memorandum on the Stargate Abilene campus — the 1.2 GW Crusoe-built, Oracle-leased, OpenAI-served data center on Lancium's Clean Campus north of Abilene. It's the inverse of GW Ranch: built, tenanted, and financed. Findings in brief: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ASSET. </w:t>
      </w:r>
      <w:r>
        <w:rPr>
          <w:rFonts w:ascii="Calibri" w:hAnsi="Calibri"/>
          <w:b w:val="0"/>
          <w:sz w:val="22"/>
        </w:rPr>
        <w:t>The campus is real and running — Phase 1 (2 of 8 buildings, 200+ MW) live since September 2025 on Oracle Cloud for OpenAI, GPT-5.5 reportedly trained on-site, ~4 of 8 buildings operational now, the rest guided to Q1 2027. Eight buildings, ~4 million sq ft, 1.2 GW, up to 450,000 Nvidia GB200. Hybrid power: a 1.2 GW ERCOT grid interconnect plus ~360 MW of on-site gas plus battery — grid-tied, not off-grid. Closed-loop air cooling, near-zero water (~20 gpm vs. a 500 gpm city allocation).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STRUCTURE. </w:t>
      </w:r>
      <w:r>
        <w:rPr>
          <w:rFonts w:ascii="Calibri" w:hAnsi="Calibri"/>
          <w:b w:val="0"/>
          <w:sz w:val="22"/>
        </w:rPr>
        <w:t>The single most-confused fact in the press: the $500B “Stargate” JV does not own or finance Abilene. The campus is a Crusoe / Blue Owl Capital / Primary Digital real-estate JV, ground-leased from landowner Lancium, net-leased to Oracle (15 years), which buys ~$40B of Nvidia GPUs and resells cloud to OpenAI. “Stargate I” is branding on a Crusoe/Oracle deal. Crusoe’s CEO, on record: “Our customer is Oracle. OpenAI is Oracle’s customer.”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CAPITAL. </w:t>
      </w:r>
      <w:r>
        <w:rPr>
          <w:rFonts w:ascii="Calibri" w:hAnsi="Calibri"/>
          <w:b w:val="0"/>
          <w:sz w:val="22"/>
        </w:rPr>
        <w:t>~$15B actually committed at the site — roughly $9.6B JPMorgan construction debt + ~$5B Crusoe/Blue Owl equity, plus Lancium’s $600M. The debt is ring-fenced and reportedly non-recourse, secured by the 15-year Oracle lease — classic project finance. Blue Owl holds the controlling equity; Crusoe is the minority operator. This is the bankable structure the tenantless plays (GW Ranch, Fermi) can’t replicate — senior bank debt against a long lease.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CRACK. </w:t>
      </w:r>
      <w:r>
        <w:rPr>
          <w:rFonts w:ascii="Calibri" w:hAnsi="Calibri"/>
          <w:b w:val="0"/>
          <w:sz w:val="22"/>
        </w:rPr>
        <w:t>It still broke once. In March 2026 the Oracle/OpenAI expansion lease (~600–700 MW) collapsed over financing terms, OpenAI’s shifting demand, and a winter storm that knocked buildings offline for days. Nvidia paid Crusoe a ~$150M deposit to hold the block and recruit Meta; Microsoft then took an adjacent 900 MW on a 20-year lease. Capacity got re-tenanted — but not seamlessly, and only because deep-pocketed buyers were competing for it.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RISK. </w:t>
      </w:r>
      <w:r>
        <w:rPr>
          <w:rFonts w:ascii="Calibri" w:hAnsi="Calibri"/>
          <w:b w:val="0"/>
          <w:sz w:val="22"/>
        </w:rPr>
        <w:t>Demand-side, not site-side. Every layer’s cash flow rests on OpenAI paying Oracle — and OpenAI is pre-profit (~$20B ARR) against a compute pledge it just cut from ~$1.4T to ~$600B. Oracle is the transmission cable: ~14–16% GPU-rental margins, a record ~198 bps CDS spike in March 2026, a January bondholder lawsuit, and a backlog heavily concentrated in the OpenAI contract. The asset is sound; the counterparty chain above it is where the risk lives. Crusoe itself — a 7-year-old, highly leveraged build-and-flip developer — was pushed off its own Wyoming flagship by Google.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VERDICT. </w:t>
      </w:r>
      <w:r>
        <w:rPr>
          <w:rFonts w:ascii="Calibri" w:hAnsi="Calibri"/>
          <w:b w:val="0"/>
          <w:sz w:val="22"/>
        </w:rPr>
        <w:t>Abilene is the strong case for GW-scale AI infrastructure: live, capitalized, multi-tenant, grid+gas. And it still saw its anchor lease blow up, needed an Nvidia deposit to backfill, and went dark in a storm. If this is the de-risked one, the tenantless tier (GW Ranch, Fermi, the collapsed Poolside/Horizon) is far more exposed. For our purposes the read-across is clean: in West Texas land/power, the value is the lease, not the dirt. Full memo attached — falsification conditions and decision thresholds in sections VIII–IX.</w:t>
      </w:r>
    </w:p>
    <w:p>
      <w:pPr>
        <w:spacing w:after="160" w:line="300" w:lineRule="auto"/>
      </w:pPr>
      <w:r>
        <w:rPr>
          <w:rFonts w:ascii="Calibri" w:hAnsi="Calibri"/>
          <w:b w:val="0"/>
          <w:sz w:val="22"/>
        </w:rPr>
        <w:t>Andrea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