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00" w:lineRule="auto"/>
      </w:pPr>
      <w:r>
        <w:rPr>
          <w:rFonts w:ascii="Calibri" w:hAnsi="Calibri"/>
          <w:b/>
          <w:color w:val="777777"/>
          <w:sz w:val="18"/>
        </w:rPr>
        <w:t>EMAIL DRAFT (MOBILE) — copy everything below the line into Outlook</w:t>
      </w:r>
    </w:p>
    <w:p>
      <w:pPr>
        <w:spacing w:after="80" w:line="300" w:lineRule="auto"/>
      </w:pPr>
      <w:r>
        <w:rPr>
          <w:rFonts w:ascii="Calibri" w:hAnsi="Calibri"/>
          <w:b/>
          <w:color w:val="0F2C4D"/>
          <w:sz w:val="21"/>
        </w:rPr>
        <w:t xml:space="preserve">Subject: </w:t>
      </w:r>
      <w:r>
        <w:rPr>
          <w:rFonts w:ascii="Calibri" w:hAnsi="Calibri"/>
          <w:b w:val="0"/>
          <w:color w:val="0F2C4D"/>
          <w:sz w:val="21"/>
        </w:rPr>
        <w:t>Stargate Abilene diligence: the de-risked one — built, leased, $15B financed — and its anchor lease still blew up</w:t>
      </w:r>
    </w:p>
    <w:p>
      <w:r>
        <w:rPr>
          <w:color w:val="777777"/>
        </w:rPr>
        <w:t>————————————————————————————————————————</w:t>
      </w:r>
    </w:p>
    <w:p>
      <w:pPr>
        <w:spacing w:after="160" w:line="300" w:lineRule="auto"/>
      </w:pPr>
      <w:r>
        <w:rPr>
          <w:rFonts w:ascii="Calibri" w:hAnsi="Calibri"/>
          <w:b w:val="0"/>
          <w:sz w:val="22"/>
        </w:rPr>
        <w:t>Mel,</w:t>
      </w:r>
    </w:p>
    <w:p>
      <w:pPr>
        <w:spacing w:after="160" w:line="300" w:lineRule="auto"/>
      </w:pPr>
      <w:r>
        <w:rPr>
          <w:rFonts w:ascii="Calibri" w:hAnsi="Calibri"/>
          <w:b w:val="0"/>
          <w:sz w:val="22"/>
        </w:rPr>
        <w:t>Full diligence memo attached on Stargate Abilene — the 1.2 GW Crusoe/Oracle/OpenAI campus north of Abilene. The inverse of GW Ranch: built, tenanted, financed. Short version: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ASSET. </w:t>
      </w:r>
      <w:r>
        <w:rPr>
          <w:rFonts w:ascii="Calibri" w:hAnsi="Calibri"/>
          <w:b w:val="0"/>
          <w:sz w:val="22"/>
        </w:rPr>
        <w:t>Real and running — live since Sept 2025 on Oracle Cloud for OpenAI; ~4 of 8 buildings up, rest by Q1 2027; 1.2 GW, up to 450,000 GB200. Hybrid power (1.2 GW grid + ~360 MW gas + battery), air-cooled, near-zero water.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STRUCTURE. </w:t>
      </w:r>
      <w:r>
        <w:rPr>
          <w:rFonts w:ascii="Calibri" w:hAnsi="Calibri"/>
          <w:b w:val="0"/>
          <w:sz w:val="22"/>
        </w:rPr>
        <w:t>The $500B “Stargate” JV does NOT own Abilene. It’s a Crusoe/Blue Owl real-estate JV, ground-leased from Lancium, net-leased to Oracle (15 yr), which owns the ~$40B of GPUs and sells cloud to OpenAI. “Stargate I” is branding.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CAPITAL. </w:t>
      </w:r>
      <w:r>
        <w:rPr>
          <w:rFonts w:ascii="Calibri" w:hAnsi="Calibri"/>
          <w:b w:val="0"/>
          <w:sz w:val="22"/>
        </w:rPr>
        <w:t>~$15B financed at the site (~$9.6B JPMorgan debt + ~$5B Crusoe/Blue Owl equity + Lancium $600M). Debt is non-recourse, secured by the Oracle lease. Bankable — the structure GW Ranch/Fermi can’t get.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CRACK. </w:t>
      </w:r>
      <w:r>
        <w:rPr>
          <w:rFonts w:ascii="Calibri" w:hAnsi="Calibri"/>
          <w:b w:val="0"/>
          <w:sz w:val="22"/>
        </w:rPr>
        <w:t>It still broke. March 2026: Oracle/OpenAI dropped the ~600–700 MW expansion (financing + shifting demand + a winter cooling outage). Nvidia paid Crusoe ~$150M to hold it; Microsoft took an adjacent 900 MW. Re-tenanted, but not cleanly.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RISK. </w:t>
      </w:r>
      <w:r>
        <w:rPr>
          <w:rFonts w:ascii="Calibri" w:hAnsi="Calibri"/>
          <w:b w:val="0"/>
          <w:sz w:val="22"/>
        </w:rPr>
        <w:t>Demand-side. Everything rests on OpenAI paying Oracle — OpenAI is pre-profit (~$20B ARR) and just cut its compute pledge from ~$1.4T to ~$600B. Oracle is the cable: thin ~14–16% GPU margins, record CDS spike, a bondholder suit, OpenAI-heavy backlog. Crusoe got pushed off its own Wyoming site by Google.</w:t>
      </w:r>
    </w:p>
    <w:p>
      <w:pPr>
        <w:spacing w:after="160" w:line="300" w:lineRule="auto"/>
      </w:pPr>
      <w:r>
        <w:rPr>
          <w:rFonts w:ascii="Calibri" w:hAnsi="Calibri"/>
          <w:b/>
          <w:sz w:val="22"/>
        </w:rPr>
        <w:t xml:space="preserve">THE VERDICT. </w:t>
      </w:r>
      <w:r>
        <w:rPr>
          <w:rFonts w:ascii="Calibri" w:hAnsi="Calibri"/>
          <w:b w:val="0"/>
          <w:sz w:val="22"/>
        </w:rPr>
        <w:t>The de-risked one — and it still saw its anchor blow up and went dark in a storm. If this is the strong case, the tenantless tier is far worse. Read-across: in West Texas, the value is the lease, not the dirt. Falsification + thresholds in sections VIII–IX.</w:t>
      </w:r>
    </w:p>
    <w:p>
      <w:pPr>
        <w:spacing w:after="160" w:line="300" w:lineRule="auto"/>
      </w:pPr>
      <w:r>
        <w:rPr>
          <w:rFonts w:ascii="Calibri" w:hAnsi="Calibri"/>
          <w:b w:val="0"/>
          <w:sz w:val="22"/>
        </w:rPr>
        <w:t>Andrea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