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Email — sender → buyer (draft, not sent)</w:t>
      </w:r>
    </w:p>
    <w:p>
      <w:pPr>
        <w:spacing w:after="40" w:line="288" w:lineRule="auto"/>
      </w:pPr>
      <w:r>
        <w:rPr>
          <w:rFonts w:ascii="Calibri" w:hAnsi="Calibri"/>
          <w:b/>
          <w:sz w:val="22"/>
        </w:rPr>
        <w:t xml:space="preserve">To: </w:t>
      </w:r>
      <w:r>
        <w:rPr>
          <w:rFonts w:ascii="Calibri" w:hAnsi="Calibri"/>
          <w:sz w:val="22"/>
        </w:rPr>
        <w:t>[Buyer contact]</w:t>
      </w:r>
    </w:p>
    <w:p>
      <w:pPr>
        <w:spacing w:after="40" w:line="288" w:lineRule="auto"/>
      </w:pPr>
      <w:r>
        <w:rPr>
          <w:rFonts w:ascii="Calibri" w:hAnsi="Calibri"/>
          <w:b/>
          <w:sz w:val="22"/>
        </w:rPr>
        <w:t xml:space="preserve">From: </w:t>
      </w:r>
      <w:r>
        <w:rPr>
          <w:rFonts w:ascii="Calibri" w:hAnsi="Calibri"/>
          <w:sz w:val="22"/>
        </w:rPr>
        <w:t>[Your name], for the owner of Caramba North</w:t>
      </w:r>
    </w:p>
    <w:p>
      <w:pPr>
        <w:spacing w:after="40" w:line="288" w:lineRule="auto"/>
      </w:pPr>
      <w:r>
        <w:rPr>
          <w:rFonts w:ascii="Calibri" w:hAnsi="Calibri"/>
          <w:b/>
          <w:sz w:val="22"/>
        </w:rPr>
        <w:t xml:space="preserve">Subject: </w:t>
      </w:r>
      <w:r>
        <w:rPr>
          <w:rFonts w:ascii="Calibri" w:hAnsi="Calibri"/>
          <w:sz w:val="22"/>
        </w:rPr>
        <w:t>Caramba North — oil-and-gas drilling and ground-vibration assessment; supporting data tool</w:t>
      </w:r>
    </w:p>
    <w:p>
      <w:pPr>
        <w:spacing w:after="40" w:line="288" w:lineRule="auto"/>
      </w:pPr>
      <w:r>
        <w:rPr>
          <w:rFonts w:ascii="Calibri" w:hAnsi="Calibri"/>
          <w:b/>
          <w:sz w:val="22"/>
        </w:rPr>
        <w:t xml:space="preserve">Attachment: </w:t>
      </w:r>
      <w:r>
        <w:rPr>
          <w:rFonts w:ascii="Calibri" w:hAnsi="Calibri"/>
          <w:sz w:val="22"/>
        </w:rPr>
        <w:t>Pecos-Shallow-Drilling-Caramba-Vibration.pdf</w:t>
      </w:r>
    </w:p>
    <w:p>
      <w:pPr>
        <w:pBdr>
          <w:bottom w:val="single" w:sz="6" w:space="1" w:color="B0B0B0"/>
        </w:pBdr>
        <w:spacing w:after="120" w:before="120"/>
      </w:pPr>
    </w:p>
    <w:p>
      <w:pPr>
        <w:spacing w:after="160" w:line="288" w:lineRule="auto"/>
      </w:pPr>
      <w:r>
        <w:rPr>
          <w:rFonts w:ascii="Calibri" w:hAnsi="Calibri"/>
          <w:sz w:val="22"/>
        </w:rPr>
        <w:t>[Name],</w:t>
      </w:r>
    </w:p>
    <w:p>
      <w:pPr>
        <w:spacing w:after="160" w:line="288" w:lineRule="auto"/>
      </w:pPr>
      <w:r>
        <w:rPr>
          <w:rFonts w:ascii="Calibri" w:hAnsi="Calibri"/>
          <w:sz w:val="22"/>
        </w:rPr>
        <w:t>This transmits our assessment of the oil-and-gas drilling record at and within ten miles of the Caramba North tract, prepared in response to the ground-vibration question raised in connection with the proposed data-center development. The analysis relies exclusively on Railroad Commission of Texas (RRC) primary records — the dbo900 wellbore database and the W-1 drilling-permit record — and is fully reproducible from those sources. The memorandum is attached; the findings are summarized below.</w:t>
      </w:r>
    </w:p>
    <w:p>
      <w:pPr>
        <w:spacing w:after="160" w:line="288" w:lineRule="auto"/>
      </w:pPr>
      <w:r>
        <w:rPr>
          <w:rFonts w:ascii="Calibri" w:hAnsi="Calibri"/>
          <w:b/>
          <w:sz w:val="22"/>
        </w:rPr>
        <w:t>Proximity.</w:t>
      </w:r>
      <w:r>
        <w:rPr>
          <w:rFonts w:ascii="Calibri" w:hAnsi="Calibri"/>
          <w:sz w:val="22"/>
        </w:rPr>
        <w:t xml:space="preserve"> No well of any kind has been spudded within two miles of the tract in over a decade, and no shallow (&lt;3,000 ft) well within two miles since 2002. Counting only genuine new wells (recompletion re-stamps of existing bores excluded), no new-drill well lies within five miles of the tract, and only three within ten miles across all of 2020–2025 — all deep (≈9,200–9,500 ft, spudded 2020 and 2025), the nearest approximately 6.9 miles out. The wells within two miles are all decades-old legacy completions (drilled 1950s–2002) — mostly plugged shallow verticals plus a handful of long-completed deep wells — none representing active drilling or a hydraulic-fracturing operation. Separately, cross-referencing every well against RRC production records for the most recent six reported months — joined by API number through the RRC's authoritative API-to-lease crosswalk, covering ≈99.6% of non-plugged wells — and applying a strict marginal-well threshold (trailing-average output at or below </w:t>
      </w:r>
      <w:r>
        <w:rPr>
          <w:rFonts w:ascii="Calibri" w:hAnsi="Calibri"/>
          <w:b/>
          <w:sz w:val="22"/>
        </w:rPr>
        <w:t>125 Mcf/day of gas AND 25 bbl/day of oil</w:t>
      </w:r>
      <w:r>
        <w:rPr>
          <w:rFonts w:ascii="Calibri" w:hAnsi="Calibri"/>
          <w:sz w:val="22"/>
        </w:rPr>
        <w:t xml:space="preserve">): about </w:t>
      </w:r>
      <w:r>
        <w:rPr>
          <w:rFonts w:ascii="Calibri" w:hAnsi="Calibri"/>
          <w:b/>
          <w:sz w:val="22"/>
        </w:rPr>
        <w:t>83% of the 291 non-plugged wellbores within ten miles (241) are marginal or end-of-life</w:t>
      </w:r>
      <w:r>
        <w:rPr>
          <w:rFonts w:ascii="Calibri" w:hAnsi="Calibri"/>
          <w:sz w:val="22"/>
        </w:rPr>
        <w:t xml:space="preserve">. To be clear: these 241 are </w:t>
      </w:r>
      <w:r>
        <w:rPr>
          <w:rFonts w:ascii="Calibri" w:hAnsi="Calibri"/>
          <w:b/>
          <w:sz w:val="22"/>
        </w:rPr>
        <w:t>not new drilling</w:t>
      </w:r>
      <w:r>
        <w:rPr>
          <w:rFonts w:ascii="Calibri" w:hAnsi="Calibri"/>
          <w:sz w:val="22"/>
        </w:rPr>
        <w:t xml:space="preserve"> — they are decades-old completions (mostly 1980s-vintage) that have naturally depleted over thirty to fifty years of production. The 50 wellbores still producing above that threshold are also all decades-old completions — comprising ~15 legacy deep-gas wells (mostly 1965–1978 spud, ≈17,000–22,800 ft), a cluster of ~31 low-rate vertical conventional oil wells at ≈3,150–3,440 ft on a unitized stripper-grade pumping lease (spud 1986–2012), 3 truly shallow (&lt;3,000 ft) oil wells at 2,824–2,945 ft (spud 2004–2011), and the single 2020 deep-horizontal new-drill at 9.37 mi noted above. A pumping wellhead or low-rate gas well on a decades-old completion is not a drilling rig or a hydraulic-fracturing spread. There is accordingly no active drilling or hydraulic-fracturing operation at or near the site.</w:t>
      </w:r>
    </w:p>
    <w:p>
      <w:pPr>
        <w:spacing w:after="160" w:line="288" w:lineRule="auto"/>
      </w:pPr>
      <w:r>
        <w:rPr>
          <w:rFonts w:ascii="Calibri" w:hAnsi="Calibri"/>
          <w:sz w:val="22"/>
        </w:rPr>
        <w:t xml:space="preserve">This is independently confirmed against the </w:t>
      </w:r>
      <w:r>
        <w:rPr>
          <w:rFonts w:ascii="Calibri" w:hAnsi="Calibri"/>
          <w:b/>
          <w:sz w:val="22"/>
        </w:rPr>
        <w:t>Texas FracFocus disclosure database</w:t>
      </w:r>
      <w:r>
        <w:rPr>
          <w:rFonts w:ascii="Calibri" w:hAnsi="Calibri"/>
          <w:sz w:val="22"/>
        </w:rPr>
        <w:t xml:space="preserve"> (the public record of every hydraulic-fracturing job filed in Texas since 2011, cross-referenced against the RRC wellbore record by API number to </w:t>
      </w:r>
      <w:r>
        <w:rPr>
          <w:rFonts w:ascii="Calibri" w:hAnsi="Calibri"/>
          <w:b/>
          <w:sz w:val="22"/>
        </w:rPr>
        <w:t>exclude re-fracs on existing wells</w:t>
      </w:r>
      <w:r>
        <w:rPr>
          <w:rFonts w:ascii="Calibri" w:hAnsi="Calibri"/>
          <w:sz w:val="22"/>
        </w:rPr>
        <w:t xml:space="preserve">): </w:t>
      </w:r>
      <w:r>
        <w:rPr>
          <w:rFonts w:ascii="Calibri" w:hAnsi="Calibri"/>
          <w:b/>
          <w:sz w:val="22"/>
        </w:rPr>
        <w:t>no new-drill frack has ever been filed within two miles of the Caramba North tract</w:t>
      </w:r>
      <w:r>
        <w:rPr>
          <w:rFonts w:ascii="Calibri" w:hAnsi="Calibri"/>
          <w:sz w:val="22"/>
        </w:rPr>
        <w:t>, and only 9 new-drill fracks have ever been filed within five miles — all between 2012 and 2015 (most recent over a decade ago). Across the full ten-mile buffer, 28 new-drill fracks since 2012, the nearest recent one being a 2025 Mongoose Energy well at 6.94 mi out. The dense Permian new-drill fracking activity (478 jobs within 20 mi, dominated by Diamondback / XTO / Gordy) is concentrated well outside the 10-mile buffer.</w:t>
      </w:r>
    </w:p>
    <w:p>
      <w:pPr>
        <w:spacing w:after="160" w:line="288" w:lineRule="auto"/>
      </w:pPr>
      <w:r>
        <w:rPr>
          <w:rFonts w:ascii="Calibri" w:hAnsi="Calibri"/>
          <w:b/>
          <w:sz w:val="22"/>
        </w:rPr>
        <w:t>Character of activity.</w:t>
      </w:r>
      <w:r>
        <w:rPr>
          <w:rFonts w:ascii="Calibri" w:hAnsi="Calibri"/>
          <w:sz w:val="22"/>
        </w:rPr>
        <w:t xml:space="preserve"> Tracing every Pecos wellbore that has had any recorded activity since 2020 (RRC's master wellbore database, dbf900, with every event tagged to a unique API well number): </w:t>
      </w:r>
      <w:r>
        <w:rPr>
          <w:rFonts w:ascii="Calibri" w:hAnsi="Calibri"/>
          <w:b/>
          <w:sz w:val="22"/>
        </w:rPr>
        <w:t>only ≈10% (117 of 1,118) are genuine new drilling</w:t>
      </w:r>
      <w:r>
        <w:rPr>
          <w:rFonts w:ascii="Calibri" w:hAnsi="Calibri"/>
          <w:sz w:val="22"/>
        </w:rPr>
        <w:t xml:space="preserve"> — the other ≈90% are recompletion or workover events on existing wellbores, overwhelmingly by Kinder Morgan Production reworking existing CO₂-flood (enhanced-recovery) fields, on a workover rig on an existing bore. Of the ≈116 genuine new wells actually drilled in Pecos since 2020, </w:t>
      </w:r>
      <w:r>
        <w:rPr>
          <w:rFonts w:ascii="Calibri" w:hAnsi="Calibri"/>
          <w:b/>
          <w:sz w:val="22"/>
        </w:rPr>
        <w:t>≈95% are deep (≥3,000 ft) horizontal</w:t>
      </w:r>
      <w:r>
        <w:rPr>
          <w:rFonts w:ascii="Calibri" w:hAnsi="Calibri"/>
          <w:sz w:val="22"/>
        </w:rPr>
        <w:t xml:space="preserve"> — the modern Permian unconventional program, operator-concentrated (Diamondback, XTO, Continental, Gordy), oil-directed, and remote from the site. On a genuine-new-drill basis Pecos is by far the least-drilled of the seven comparable Permian counties (≈116 new wells since 2020 vs an average of ≈1,148 across the other six — Reeves, Midland, Martin, Reagan, Howard, Loving). New drilling and the hydraulic-fracturing completions that accompany it — whether of horizontal or vertical wellbores — are the activity materially associated with ground vibration, and that activity is absent from the site's vicinity.</w:t>
      </w:r>
    </w:p>
    <w:p>
      <w:pPr>
        <w:spacing w:after="160" w:line="288" w:lineRule="auto"/>
      </w:pPr>
      <w:r>
        <w:rPr>
          <w:rFonts w:ascii="Calibri" w:hAnsi="Calibri"/>
          <w:b/>
          <w:sz w:val="22"/>
        </w:rPr>
        <w:t>Conclusion.</w:t>
      </w:r>
      <w:r>
        <w:rPr>
          <w:rFonts w:ascii="Calibri" w:hAnsi="Calibri"/>
          <w:sz w:val="22"/>
        </w:rPr>
        <w:t xml:space="preserve"> The drilling record does not indicate a drilling- or hydraulic-fracturing-related ground-vibration exposure at the Caramba North site.</w:t>
      </w:r>
    </w:p>
    <w:p>
      <w:pPr>
        <w:spacing w:after="160" w:line="288" w:lineRule="auto"/>
      </w:pPr>
      <w:r>
        <w:rPr>
          <w:rFonts w:ascii="Calibri" w:hAnsi="Calibri"/>
          <w:b/>
          <w:sz w:val="22"/>
        </w:rPr>
        <w:t>Interactive data tool — independent validation.</w:t>
      </w:r>
      <w:r>
        <w:rPr>
          <w:rFonts w:ascii="Calibri" w:hAnsi="Calibri"/>
          <w:sz w:val="22"/>
        </w:rPr>
        <w:t xml:space="preserve"> The complete record is available at </w:t>
      </w:r>
      <w:r>
        <w:rPr>
          <w:rFonts w:ascii="Calibri" w:hAnsi="Calibri"/>
          <w:b/>
          <w:sz w:val="22"/>
        </w:rPr>
        <w:t>https://lrp-tx-gis.netlify.app</w:t>
      </w:r>
      <w:r>
        <w:rPr>
          <w:rFonts w:ascii="Calibri" w:hAnsi="Calibri"/>
          <w:sz w:val="22"/>
        </w:rPr>
        <w:t xml:space="preserve">. It carries the full RRC wellbore and W-1 permit records alongside the surrounding energy-infrastructure datasets, and the wells layer is </w:t>
      </w:r>
      <w:r>
        <w:rPr>
          <w:rFonts w:ascii="Calibri" w:hAnsi="Calibri"/>
          <w:b/>
          <w:sz w:val="22"/>
        </w:rPr>
        <w:t>filtered to genuine new drilling — recompletion re-stamps of existing wellbores are excluded</w:t>
      </w:r>
      <w:r>
        <w:rPr>
          <w:rFonts w:ascii="Calibri" w:hAnsi="Calibri"/>
          <w:sz w:val="22"/>
        </w:rPr>
        <w:t xml:space="preserve"> — so its counts, summary tables, and time series reflect new wellbores, consistent with this memorandum. The capabilities most relevant to this assessment:</w:t>
      </w:r>
    </w:p>
    <w:p>
      <w:pPr>
        <w:pStyle w:val="ListBullet"/>
        <w:spacing w:after="80" w:line="288" w:lineRule="auto"/>
      </w:pPr>
      <w:r>
        <w:rPr>
          <w:rFonts w:ascii="Calibri" w:hAnsi="Calibri"/>
          <w:b/>
          <w:sz w:val="22"/>
        </w:rPr>
        <w:t>Summary tables.</w:t>
      </w:r>
      <w:r>
        <w:rPr>
          <w:rFonts w:ascii="Calibri" w:hAnsi="Calibri"/>
          <w:sz w:val="22"/>
        </w:rPr>
        <w:t xml:space="preserve"> A live panel that, for any selection, tabulates new-well counts and annual averages by era, Pecos against the comparable counties, with depth and status breakdowns — the same tabulations that underlie the memorandum.</w:t>
      </w:r>
    </w:p>
    <w:p>
      <w:pPr>
        <w:pStyle w:val="ListBullet"/>
        <w:spacing w:after="80" w:line="288" w:lineRule="auto"/>
      </w:pPr>
      <w:r>
        <w:rPr>
          <w:rFonts w:ascii="Calibri" w:hAnsi="Calibri"/>
          <w:b/>
          <w:sz w:val="22"/>
        </w:rPr>
        <w:t>Time series.</w:t>
      </w:r>
      <w:r>
        <w:rPr>
          <w:rFonts w:ascii="Calibri" w:hAnsi="Calibri"/>
          <w:sz w:val="22"/>
        </w:rPr>
        <w:t xml:space="preserve"> A year-by-year scrubber rendering the cumulative new-drill history, so the trend and spatial concentration of activity are directly observable.</w:t>
      </w:r>
    </w:p>
    <w:p>
      <w:pPr>
        <w:pStyle w:val="ListBullet"/>
        <w:spacing w:after="80" w:line="288" w:lineRule="auto"/>
      </w:pPr>
      <w:r>
        <w:rPr>
          <w:rFonts w:ascii="Calibri" w:hAnsi="Calibri"/>
          <w:b/>
          <w:sz w:val="22"/>
        </w:rPr>
        <w:t>Reproducible views.</w:t>
      </w:r>
      <w:r>
        <w:rPr>
          <w:rFonts w:ascii="Calibri" w:hAnsi="Calibri"/>
          <w:sz w:val="22"/>
        </w:rPr>
        <w:t xml:space="preserve"> One-click saved views (e.g., Pecos new wells; Pecos vs. comparable counties by depth band) that regenerate each figure in the memorandum, with per-feature attribute detail (API, spud/completion, depth, operator, status, source) and filtering by county, spud year, depth, and wellbore profile.</w:t>
      </w:r>
    </w:p>
    <w:p>
      <w:pPr>
        <w:spacing w:after="160" w:line="288" w:lineRule="auto"/>
      </w:pPr>
      <w:r>
        <w:rPr>
          <w:rFonts w:ascii="Calibri" w:hAnsi="Calibri"/>
          <w:sz w:val="22"/>
        </w:rPr>
        <w:t>Every figure in the memorandum is reproducible in the tool, and we invite your technical team to validate the underlying records directly. We are available to review the analysis and the data tool with your team at your convenience.</w:t>
      </w:r>
    </w:p>
    <w:p>
      <w:pPr>
        <w:spacing w:after="160" w:line="288" w:lineRule="auto"/>
      </w:pPr>
      <w:r>
        <w:rPr>
          <w:rFonts w:ascii="Calibri" w:hAnsi="Calibri"/>
          <w:sz w:val="22"/>
        </w:rPr>
        <w:t>[Your name] [Title]</w:t>
      </w:r>
    </w:p>
    <w:p>
      <w:pPr>
        <w:pBdr>
          <w:bottom w:val="single" w:sz="6" w:space="1" w:color="B0B0B0"/>
        </w:pBdr>
        <w:spacing w:after="120" w:before="120"/>
      </w:pPr>
    </w:p>
    <w:p>
      <w:pPr>
        <w:spacing w:after="80" w:line="288" w:lineRule="auto"/>
      </w:pPr>
      <w:r>
        <w:rPr>
          <w:rFonts w:ascii="Calibri" w:hAnsi="Calibri"/>
          <w:i/>
          <w:sz w:val="18"/>
        </w:rPr>
        <w:t>Notes (delete before sending): fill in recipient and your name/title; attach `Pecos-Shallow-Drilling-Caramba-Vibration.pdf` (or the .docx). The map link is the public production URL. Not sent. Separate from the internal `owner-email.md`.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B00000"/>
        <w:sz w:val="18"/>
      </w:rPr>
      <w:t>CONFIDENTIAL — CARAMBA NORTH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