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3"/>
        <w:gridCol w:w="4032"/>
      </w:tblGrid>
      <w:tr>
        <w:tc>
          <w:tcPr>
            <w:tcW w:type="dxa" w:w="66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0F1B2D"/>
                <w:sz w:val="44"/>
              </w:rPr>
              <w:t>CARAMBA NORTH</w:t>
            </w:r>
          </w:p>
          <w:p>
            <w:pPr>
              <w:spacing w:before="0"/>
            </w:pPr>
            <w:r>
              <w:rPr>
                <w:rFonts w:ascii="Arial" w:hAnsi="Arial"/>
                <w:b/>
                <w:i w:val="0"/>
                <w:color w:val="1B4965"/>
                <w:sz w:val="22"/>
                <w:spacing w:val="22"/>
              </w:rPr>
              <w:t>TECHNICAL SNAPSHOT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5B6672"/>
                <w:sz w:val="14"/>
                <w:spacing w:val="8"/>
              </w:rPr>
              <w:t>CONFIDENTIAL OFFERING MEMORANDUM</w:t>
            </w:r>
          </w:p>
          <w:p>
            <w:pPr>
              <w:spacing w:before="20"/>
              <w:jc w:val="right"/>
            </w:pPr>
            <w:r>
              <w:rPr>
                <w:rFonts w:ascii="Arial" w:hAnsi="Arial"/>
                <w:b w:val="0"/>
                <w:i w:val="0"/>
                <w:color w:val="5B6672"/>
                <w:sz w:val="14"/>
              </w:rPr>
              <w:t>Pecos County, Texas  |  August 2026</w:t>
            </w:r>
          </w:p>
          <w:p>
            <w:pPr>
              <w:spacing w:before="20"/>
              <w:jc w:val="right"/>
            </w:pPr>
            <w:r>
              <w:rPr>
                <w:rFonts w:ascii="Arial" w:hAnsi="Arial"/>
                <w:b w:val="0"/>
                <w:i/>
                <w:color w:val="5B6672"/>
                <w:sz w:val="13"/>
              </w:rPr>
              <w:t>Data-room reference — figures per §2.7 diligence platform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16" w:space="0" w:color="0F1B2D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c>
          <w:tcPr>
            <w:tcW w:type="dxa" w:w="2534"/>
            <w:tcBorders>
              <w:top w:val="nil"/>
              <w:left w:val="nil"/>
              <w:bottom w:val="single" w:sz="10" w:space="0" w:color="1B4965"/>
              <w:right w:val="nil"/>
            </w:tcBorders>
            <w:shd w:val="clear" w:color="auto" w:fill="0F1B2D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30"/>
              </w:rPr>
              <w:t>32.7 GW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i w:val="0"/>
                <w:color w:val="C7D7E0"/>
                <w:sz w:val="13"/>
                <w:spacing w:val="6"/>
              </w:rPr>
              <w:t>OPERATING + QUEUED, 60 MI</w:t>
            </w:r>
          </w:p>
        </w:tc>
        <w:tc>
          <w:tcPr>
            <w:tcW w:type="dxa" w:w="2534"/>
            <w:tcBorders>
              <w:top w:val="nil"/>
              <w:left w:val="nil"/>
              <w:bottom w:val="single" w:sz="10" w:space="0" w:color="1B4965"/>
              <w:right w:val="nil"/>
            </w:tcBorders>
            <w:shd w:val="clear" w:color="auto" w:fill="0F1B2D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30"/>
              </w:rPr>
              <w:t>15.5 MI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i w:val="0"/>
                <w:color w:val="C7D7E0"/>
                <w:sz w:val="13"/>
                <w:spacing w:val="6"/>
              </w:rPr>
              <w:t>TO GW RANCH (7.65 GW)</w:t>
            </w:r>
          </w:p>
        </w:tc>
        <w:tc>
          <w:tcPr>
            <w:tcW w:type="dxa" w:w="2534"/>
            <w:tcBorders>
              <w:top w:val="nil"/>
              <w:left w:val="nil"/>
              <w:bottom w:val="single" w:sz="10" w:space="0" w:color="1B4965"/>
              <w:right w:val="nil"/>
            </w:tcBorders>
            <w:shd w:val="clear" w:color="auto" w:fill="0F1B2D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30"/>
              </w:rPr>
              <w:t>19.3 MI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i w:val="0"/>
                <w:color w:val="C7D7E0"/>
                <w:sz w:val="13"/>
                <w:spacing w:val="6"/>
              </w:rPr>
              <w:t>TO LONGFELLOW (2 GW)</w:t>
            </w:r>
          </w:p>
        </w:tc>
        <w:tc>
          <w:tcPr>
            <w:tcW w:type="dxa" w:w="2534"/>
            <w:tcBorders>
              <w:top w:val="nil"/>
              <w:left w:val="nil"/>
              <w:bottom w:val="single" w:sz="10" w:space="0" w:color="1B4965"/>
              <w:right w:val="nil"/>
            </w:tcBorders>
            <w:shd w:val="clear" w:color="auto" w:fill="0F1B2D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30"/>
              </w:rPr>
              <w:t>47,418 AF/YR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i w:val="0"/>
                <w:color w:val="C7D7E0"/>
                <w:sz w:val="13"/>
                <w:spacing w:val="6"/>
              </w:rPr>
              <w:t>WATER PERMITTED, ADJACENT</w:t>
            </w:r>
          </w:p>
        </w:tc>
      </w:tr>
    </w:tbl>
    <w:p>
      <w:pPr>
        <w:spacing w:before="0" w:after="0" w:line="80" w:lineRule="exact"/>
      </w:pPr>
      <w:r>
        <w:rPr>
          <w:sz w:val="2"/>
        </w:rPr>
      </w:r>
    </w:p>
    <w:p>
      <w:pPr>
        <w:spacing w:before="120" w:after="80"/>
      </w:pPr>
      <w:r>
        <w:rPr>
          <w:rFonts w:ascii="Arial" w:hAnsi="Arial"/>
          <w:b w:val="0"/>
          <w:i w:val="0"/>
          <w:color w:val="26313D"/>
          <w:sz w:val="17"/>
        </w:rPr>
        <w:t>1,300 contiguous acres on I-10 in Pecos County, positioned inside an already-forming power and data-center corridor: two hyperscale-scale projects (7.65 GW and 2 GW) sit on the same north–south line through the property at 15.5 and 19.3 miles, backed by transmission, water, and gas positions that are permitted or contract-ready, not proposed. The tables below carry the data-room figures; narrative framing is in the companion Executive Brief.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360"/>
        <w:gridCol w:w="5760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single" w:sz="6" w:space="0" w:color="1B4965"/>
                    <w:right w:val="nil"/>
                  </w:tcBorders>
                  <w:tcMar>
                    <w:top w:w="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/>
                      <w:b/>
                      <w:i w:val="0"/>
                      <w:color w:val="1B4965"/>
                      <w:sz w:val="16"/>
                      <w:spacing w:val="10"/>
                    </w:rPr>
                    <w:t xml:space="preserve">FIG 2.6  </w:t>
                  </w:r>
                  <w:r>
                    <w:rPr>
                      <w:rFonts w:ascii="Arial" w:hAnsi="Arial"/>
                      <w:b/>
                      <w:i w:val="0"/>
                      <w:color w:val="0F1B2D"/>
                      <w:sz w:val="25"/>
                    </w:rPr>
                    <w:t>Power-Gravity Diagram</w:t>
                  </w:r>
                </w:p>
              </w:tc>
            </w:tr>
          </w:tbl>
          <w:p/>
          <w:p>
            <w:pPr>
              <w:spacing w:before="0" w:after="0" w:line="40" w:lineRule="exact"/>
            </w:pPr>
            <w:r>
              <w:rPr>
                <w:sz w:val="2"/>
              </w:rPr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hibit_power_gravity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 w:val="0"/>
                <w:i/>
                <w:color w:val="5B6672"/>
                <w:sz w:val="13"/>
              </w:rPr>
              <w:t>Concentric operating + ERCOT-queue capacity, Caramba North at center. GW Ranch ≈N (19°); Longfellow ≈S (188°).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760"/>
            </w:tblGrid>
            <w:tr>
              <w:tc>
                <w:tcPr>
                  <w:tcW w:type="dxa" w:w="5760"/>
                  <w:tcBorders>
                    <w:top w:val="nil"/>
                    <w:left w:val="nil"/>
                    <w:bottom w:val="single" w:sz="6" w:space="0" w:color="1B4965"/>
                    <w:right w:val="nil"/>
                  </w:tcBorders>
                  <w:tcMar>
                    <w:top w:w="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/>
                      <w:b/>
                      <w:i w:val="0"/>
                      <w:color w:val="1B4965"/>
                      <w:sz w:val="16"/>
                      <w:spacing w:val="10"/>
                    </w:rPr>
                    <w:t xml:space="preserve">SEC 2.1  </w:t>
                  </w:r>
                  <w:r>
                    <w:rPr>
                      <w:rFonts w:ascii="Arial" w:hAnsi="Arial"/>
                      <w:b/>
                      <w:i w:val="0"/>
                      <w:color w:val="0F1B2D"/>
                      <w:sz w:val="25"/>
                    </w:rPr>
                    <w:t>The Property</w:t>
                  </w:r>
                </w:p>
              </w:tc>
            </w:tr>
          </w:tbl>
          <w:p/>
          <w:p>
            <w:pPr>
              <w:spacing w:before="0" w:after="0" w:line="4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760"/>
            </w:tblGrid>
            <w:tr>
              <w:trPr>
                <w:cantSplit/>
              </w:trPr>
              <w:tc>
                <w:tcPr>
                  <w:tcW w:type="dxa" w:w="5760"/>
                  <w:tcBorders>
                    <w:top w:val="nil"/>
                    <w:left w:val="single" w:sz="18" w:space="0" w:color="1B4965"/>
                    <w:bottom w:val="nil"/>
                    <w:right w:val="nil"/>
                  </w:tcBorders>
                  <w:shd w:val="clear" w:color="auto" w:fill="EAF1F5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i/>
                      <w:color w:val="12324A"/>
                      <w:sz w:val="18"/>
                    </w:rPr>
                    <w:t>As-of-right industrial land inside the fastest-growing load pocket in ERCOT — not a rezoning story.</w:t>
                  </w:r>
                </w:p>
              </w:tc>
            </w:tr>
          </w:tbl>
          <w:p/>
          <w:p>
            <w:pPr>
              <w:spacing w:before="0" w:after="0" w:line="1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671"/>
              <w:gridCol w:w="2015"/>
            </w:tblGrid>
            <w:tr>
              <w:trPr>
                <w:cantSplit/>
                <w:tblHeader w:val="true"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PROPERTY FACT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Max contiguous acreage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1,300 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Location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N side of I-10, Pecos Co.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Distance to Fort Stockton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≈ 5 mi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Zoning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None — as-of-right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72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ERCOT weather zone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Far West (highest-growth)</w:t>
                  </w:r>
                </w:p>
              </w:tc>
            </w:tr>
          </w:tbl>
          <w:p/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2.2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Transmission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Fifteen miles from the delivery point of all three approved 765 kV Permian import lines — the transmission decision is already made, upstream of this site.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544"/>
      </w:tblGrid>
      <w:tr>
        <w:trPr>
          <w:cantSplit/>
          <w:tblHeader w:val="true"/>
        </w:trPr>
        <w:tc>
          <w:tcPr>
            <w:tcW w:type="dxa" w:w="5112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TRANSMISSION FACT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VALUE</w:t>
            </w:r>
          </w:p>
        </w:tc>
      </w:tr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Distance to Solstice Substation (AEP/CPS Energy)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15 mi</w:t>
            </w:r>
          </w:p>
        </w:tc>
      </w:tr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Role of Solstice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Western terminus, 3 PUCT-approved 765 kV Permian import paths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Approval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PUCT Docket No. 55718, approved Apr 24, 2025</w:t>
            </w:r>
          </w:p>
        </w:tc>
      </w:tr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Local substations within 10 mi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6 (138/69 kV and 69 kV)</w:t>
            </w:r>
          </w:p>
        </w:tc>
      </w:tr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ERCOT-wide TPIT pipeline (planned, not built)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141 substation + 133 line upgrades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2.3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Regional Power Cluster — Pecos County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12 GW already queued in this county alone — before counting the two hyperscale campuses profiled in §2.6.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16"/>
        <w:gridCol w:w="2592"/>
        <w:gridCol w:w="2448"/>
      </w:tblGrid>
      <w:tr>
        <w:trPr>
          <w:cantSplit/>
          <w:tblHeader w:val="true"/>
        </w:trPr>
        <w:tc>
          <w:tcPr>
            <w:tcW w:type="dxa" w:w="5616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CAPACITY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OPERATING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ERCOT QUEUE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County — Solar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2,178 MW / 13 proj.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County — Wind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542 MW / 5 proj.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County — BESS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505 MW / 6 proj.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County — Gas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 MW / 1 proj.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County — TOTAL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3,226 MW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12,039 MW / 39 proj.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Adjacent 6 counties (Reeves, Crane, Ward, Upton, Ector, Crockett)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7,022 MW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24,585 MW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Within 20 mi of Caramba North specifically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3,973 MW / 13 proj.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Nearest operating storage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St. Gall Energy Storage I — 1.9 mi, 103 MW BESS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—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2.6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Ring Analysis — Region-Wide Operating + Queued Capacity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32.7 GW sits within 60 miles of Caramba North — the property is inside the radius, not adjacent to it.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16"/>
        <w:gridCol w:w="5040"/>
      </w:tblGrid>
      <w:tr>
        <w:trPr>
          <w:cantSplit/>
          <w:tblHeader w:val="true"/>
        </w:trPr>
        <w:tc>
          <w:tcPr>
            <w:tcW w:type="dxa" w:w="5616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RADIUS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OPERATING + QUEUE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≤ 15 mi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0.5 GW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≤ 30 mi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8.9 GW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≤ 60 mi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32.7 GW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≤ 100 mi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53.5 GW</w:t>
            </w:r>
          </w:p>
        </w:tc>
      </w:tr>
    </w:tbl>
    <w:p>
      <w:pPr>
        <w:spacing w:before="80" w:after="40"/>
      </w:pPr>
      <w:r>
        <w:rPr>
          <w:rFonts w:ascii="Arial" w:hAnsi="Arial"/>
          <w:b w:val="0"/>
          <w:i/>
          <w:color w:val="5B6672"/>
          <w:sz w:val="13"/>
        </w:rPr>
        <w:t>Region-wide EIA-860 operating + ERCOT-queue capacity within each radius of the Caramba North tract boundary — not county-bounded. See Fig. 2.6.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2.6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Project-Maturity Framing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16"/>
        <w:gridCol w:w="5040"/>
      </w:tblGrid>
      <w:tr>
        <w:trPr>
          <w:cantSplit/>
          <w:tblHeader w:val="true"/>
        </w:trPr>
        <w:tc>
          <w:tcPr>
            <w:tcW w:type="dxa" w:w="5616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STATUS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SHARE OF COMBINED ANCHOR MW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Under construction (GW Ranch)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79.3%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Planned / phase-1 (Longfellow)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20.7%</w:t>
            </w:r>
          </w:p>
        </w:tc>
      </w:tr>
    </w:tbl>
    <w:p>
      <w:pPr>
        <w:spacing w:before="80" w:after="40"/>
      </w:pPr>
      <w:r>
        <w:rPr>
          <w:rFonts w:ascii="Arial" w:hAnsi="Arial"/>
          <w:b w:val="0"/>
          <w:i/>
          <w:color w:val="5B6672"/>
          <w:sz w:val="13"/>
        </w:rPr>
        <w:t>The regional pipeline anchored by the two profiled campuses (feature profiles below) is majority-built, not majority-speculative.</w:t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432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5112"/>
                  <w:tcBorders>
                    <w:top w:val="nil"/>
                    <w:left w:val="nil"/>
                    <w:bottom w:val="single" w:sz="6" w:space="0" w:color="1B4965"/>
                    <w:right w:val="nil"/>
                  </w:tcBorders>
                  <w:tcMar>
                    <w:top w:w="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/>
                      <w:b/>
                      <w:i w:val="0"/>
                      <w:color w:val="1B4965"/>
                      <w:sz w:val="16"/>
                      <w:spacing w:val="10"/>
                    </w:rPr>
                    <w:t xml:space="preserve">SEC 2.4  </w:t>
                  </w:r>
                  <w:r>
                    <w:rPr>
                      <w:rFonts w:ascii="Arial" w:hAnsi="Arial"/>
                      <w:b/>
                      <w:i w:val="0"/>
                      <w:color w:val="0F1B2D"/>
                      <w:sz w:val="25"/>
                    </w:rPr>
                    <w:t>Water</w:t>
                  </w:r>
                </w:p>
              </w:tc>
            </w:tr>
          </w:tbl>
          <w:p/>
          <w:p>
            <w:pPr>
              <w:spacing w:before="0" w:after="0" w:line="4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nil"/>
                    <w:left w:val="single" w:sz="18" w:space="0" w:color="1B4965"/>
                    <w:bottom w:val="nil"/>
                    <w:right w:val="nil"/>
                  </w:tcBorders>
                  <w:shd w:val="clear" w:color="auto" w:fill="EAF1F5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i/>
                      <w:color w:val="12324A"/>
                      <w:sz w:val="18"/>
                    </w:rPr>
                    <w:t>Two-thirds of the district's industrial water rights are already permitted to this position — the water conversation is closed, not open.</w:t>
                  </w:r>
                </w:p>
              </w:tc>
            </w:tr>
          </w:tbl>
          <w:p/>
          <w:p>
            <w:pPr>
              <w:spacing w:before="0" w:after="0" w:line="1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168"/>
              <w:gridCol w:w="1944"/>
            </w:tblGrid>
            <w:tr>
              <w:trPr>
                <w:cantSplit/>
                <w:tblHeader w:val="true"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WATER FACT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Permitted volume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47,418 AF/yr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Permitted volume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42.3 MGD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Share of Middle Pecos GCD industrial rights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≈ 2/3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Source aquifer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Edwards-Trinity (Plateau)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6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Recharge record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Held through 1950s drought of record</w:t>
                  </w:r>
                </w:p>
              </w:tc>
            </w:tr>
          </w:tbl>
          <w:p/>
        </w:tc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5112"/>
                  <w:tcBorders>
                    <w:top w:val="nil"/>
                    <w:left w:val="nil"/>
                    <w:bottom w:val="single" w:sz="6" w:space="0" w:color="1B4965"/>
                    <w:right w:val="nil"/>
                  </w:tcBorders>
                  <w:tcMar>
                    <w:top w:w="0" w:type="dxa"/>
                    <w:start w:w="0" w:type="dxa"/>
                    <w:bottom w:w="30" w:type="dxa"/>
                    <w:end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/>
                      <w:b/>
                      <w:i w:val="0"/>
                      <w:color w:val="1B4965"/>
                      <w:sz w:val="16"/>
                      <w:spacing w:val="10"/>
                    </w:rPr>
                    <w:t xml:space="preserve">SEC 2.5  </w:t>
                  </w:r>
                  <w:r>
                    <w:rPr>
                      <w:rFonts w:ascii="Arial" w:hAnsi="Arial"/>
                      <w:b/>
                      <w:i w:val="0"/>
                      <w:color w:val="0F1B2D"/>
                      <w:sz w:val="25"/>
                    </w:rPr>
                    <w:t>Natural Gas</w:t>
                  </w:r>
                </w:p>
              </w:tc>
            </w:tr>
          </w:tbl>
          <w:p/>
          <w:p>
            <w:pPr>
              <w:spacing w:before="0" w:after="0" w:line="4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nil"/>
                    <w:left w:val="single" w:sz="18" w:space="0" w:color="1B4965"/>
                    <w:bottom w:val="nil"/>
                    <w:right w:val="nil"/>
                  </w:tcBorders>
                  <w:shd w:val="clear" w:color="auto" w:fill="EAF1F5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i/>
                      <w:color w:val="12324A"/>
                      <w:sz w:val="18"/>
                    </w:rPr>
                    <w:t>A signable 15-year gas quote at Waha basis — the same structural discount now drawing behind-the-meter generation to this corridor.</w:t>
                  </w:r>
                </w:p>
              </w:tc>
            </w:tr>
          </w:tbl>
          <w:p/>
          <w:p>
            <w:pPr>
              <w:spacing w:before="0" w:after="0" w:line="1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096"/>
              <w:gridCol w:w="2015"/>
            </w:tblGrid>
            <w:tr>
              <w:trPr>
                <w:cantSplit/>
                <w:tblHeader w:val="true"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GAS FACT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4" w:space="0" w:color="1B4965"/>
                    <w:right w:val="nil"/>
                  </w:tcBorders>
                  <w:shd w:val="clear" w:color="auto" w:fill="1B4965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Distance to Waha hub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20 mi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Indicative supply quote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200,000 MMBtu/d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Term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15 yr, Waha-index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CIAC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$15–25M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9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Lead time</w:t>
                  </w:r>
                </w:p>
              </w:tc>
              <w:tc>
                <w:tcPr>
                  <w:tcW w:type="dxa" w:w="2016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9–15 mo</w:t>
                  </w:r>
                </w:p>
              </w:tc>
            </w:tr>
          </w:tbl>
          <w:p/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B7862E"/>
              <w:bottom w:val="nil"/>
              <w:right w:val="nil"/>
            </w:tcBorders>
            <w:shd w:val="clear" w:color="auto" w:fill="F4EFE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7A5A19"/>
                <w:sz w:val="15"/>
                <w:spacing w:val="6"/>
              </w:rPr>
              <w:t xml:space="preserve">MACRO CONTEXT — </w:t>
            </w:r>
            <w:r>
              <w:rPr>
                <w:rFonts w:ascii="Arial" w:hAnsi="Arial"/>
                <w:b w:val="0"/>
                <w:i w:val="0"/>
                <w:color w:val="4A3A12"/>
                <w:sz w:val="15"/>
              </w:rPr>
              <w:t>ERCOT's large-load interconnection queue grew from 63 GW (end 2024) to ~474 GW of pending requests by Aug 2026 (~90% data-center-driven) — large enough that the Governor directed an audit of all ERCOT-queue data centers and paused the “Batch Zero” large-load review (public reporting, Aug 2026). The 32.7 GW within 60 mi of Caramba North sits inside that same queue.</w:t>
            </w:r>
          </w:p>
        </w:tc>
      </w:tr>
    </w:tbl>
    <w:p>
      <w:r>
        <w:br w:type="page"/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2.6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Regional Data-Center / Power Pipeline — Feature Profiles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2.6.A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GW Ranch (Amazon)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The largest air permit issued in the US this year sits fifteen miles up the same highway corridor — under construction, not announced.</w:t>
            </w:r>
          </w:p>
        </w:tc>
      </w:tr>
    </w:tbl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3"/>
        <w:gridCol w:w="360"/>
        <w:gridCol w:w="4032"/>
      </w:tblGrid>
      <w:t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888"/>
              <w:gridCol w:w="2088"/>
            </w:tblGrid>
            <w:tr>
              <w:trPr>
                <w:cantSplit/>
                <w:tblHeader w:val="true"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4" w:space="0" w:color="B91C1C"/>
                    <w:right w:val="nil"/>
                  </w:tcBorders>
                  <w:shd w:val="clear" w:color="auto" w:fill="B91C1C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GW RANCH FACT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4" w:space="0" w:color="B91C1C"/>
                    <w:right w:val="nil"/>
                  </w:tcBorders>
                  <w:shd w:val="clear" w:color="auto" w:fill="B91C1C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Site size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8,000 ac, Pecos County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Distance to Caramba North (edge-to-edge)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≈ 15.5 mi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Ownership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Amazon (disclosed Aug 2026)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Generation permit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7.65 GW TCEQ air permit (largest in US, issued Jan/Feb 2026)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Turbines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35 gas turbines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Storage / solar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1.8 GW battery; up to 750 MW solar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Data-center buildings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3 × 189,000 sf (Gensler); target Dec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Estimated investment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≈ $12B total project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Status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Under construction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8171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hibit_amz_gwranch_notenan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17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 w:val="0"/>
                <w:i/>
                <w:color w:val="5B6672"/>
                <w:sz w:val="13"/>
              </w:rPr>
              <w:t>GW Ranch — ≈15.5 mi from Caramba North.</w:t>
            </w:r>
          </w:p>
          <w:p>
            <w:pPr>
              <w:spacing w:before="80" w:after="40"/>
            </w:pPr>
            <w:r>
              <w:rPr>
                <w:rFonts w:ascii="Arial" w:hAnsi="Arial"/>
                <w:b w:val="0"/>
                <w:i/>
                <w:color w:val="5B6672"/>
                <w:sz w:val="12"/>
              </w:rPr>
              <w:t>TCEQ air permit is a generation permit, not an ERCOT queue position; no disclosed ERCOT filing — site is off-grid initially.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2.6.B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Longfellow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A second phased gas-generation campus twenty miles south — the corridor's demand for on-site power isn't one project deep.</w:t>
            </w:r>
          </w:p>
        </w:tc>
      </w:tr>
    </w:tbl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3"/>
        <w:gridCol w:w="360"/>
        <w:gridCol w:w="4032"/>
      </w:tblGrid>
      <w:t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888"/>
              <w:gridCol w:w="2088"/>
            </w:tblGrid>
            <w:tr>
              <w:trPr>
                <w:cantSplit/>
                <w:tblHeader w:val="true"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4" w:space="0" w:color="B91C1C"/>
                    <w:right w:val="nil"/>
                  </w:tcBorders>
                  <w:shd w:val="clear" w:color="auto" w:fill="B91C1C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LONGFELLOW FACT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4" w:space="0" w:color="B91C1C"/>
                    <w:right w:val="nil"/>
                  </w:tcBorders>
                  <w:shd w:val="clear" w:color="auto" w:fill="B91C1C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4"/>
                      <w:spacing w:val="8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Site size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568 ac, Pecos County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Distance to Caramba North (edge-to-edge)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≈ 19.3 mi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On-site generation plan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Aero-derivative gas turbines, SCR + carbon-capture capable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Cooling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Closed-loop, permitted non-potable groundwater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Original scope (Oct 2025 announcement)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2 GW, 8 phases (250 MW/phase)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Status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FFFFF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Phase-1 site work underway; generation build planned in phases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26313D"/>
                      <w:sz w:val="16"/>
                    </w:rPr>
                    <w:t>ERCOT queue / TCEQ air permit on record</w:t>
                  </w:r>
                </w:p>
              </w:tc>
              <w:tc>
                <w:tcPr>
                  <w:tcW w:type="dxa" w:w="2088"/>
                  <w:tcBorders>
                    <w:top w:val="nil"/>
                    <w:left w:val="nil"/>
                    <w:bottom w:val="single" w:sz="3" w:space="0" w:color="C9D2D8"/>
                    <w:right w:val="nil"/>
                  </w:tcBorders>
                  <w:shd w:val="clear" w:color="auto" w:fill="F5F7F8"/>
                  <w:tcMar>
                    <w:top w:w="40" w:type="dxa"/>
                    <w:start w:w="90" w:type="dxa"/>
                    <w:bottom w:w="40" w:type="dxa"/>
                    <w:end w:w="90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onsolas" w:hAnsi="Consolas"/>
                      <w:b w:val="0"/>
                      <w:i w:val="0"/>
                      <w:color w:val="26313D"/>
                      <w:sz w:val="16"/>
                    </w:rPr>
                    <w:t>None found as of Aug 2026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</w:pP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9164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hibit_longfellow_notenan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16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 w:val="0"/>
                <w:i/>
                <w:color w:val="5B6672"/>
                <w:sz w:val="13"/>
              </w:rPr>
              <w:t>Longfellow — ≈19.3 mi from Caramba North.</w:t>
            </w:r>
          </w:p>
          <w:p>
            <w:pPr>
              <w:spacing w:before="80" w:after="40"/>
            </w:pPr>
            <w:r>
              <w:rPr>
                <w:rFonts w:ascii="Arial" w:hAnsi="Arial"/>
                <w:b w:val="0"/>
                <w:i/>
                <w:color w:val="5B6672"/>
                <w:sz w:val="12"/>
              </w:rPr>
              <w:t>Longfellow's own public materials describe the site as “more than 25 mi outside Fort Stockton” — consistent with the longer edge-to-edge figure.</w:t>
            </w:r>
          </w:p>
        </w:tc>
      </w:tr>
    </w:tbl>
    <w:p>
      <w:r>
        <w:br w:type="page"/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2.8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Subsurface — New-Drill Activity, Pecos County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Pecos County has the lowest new-drilling count of seven comparable Permian counties since 2020 — a 90%-below-peer-average level of activity, not merely “quiet.”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44"/>
        <w:gridCol w:w="5112"/>
      </w:tblGrid>
      <w:tr>
        <w:trPr>
          <w:cantSplit/>
          <w:tblHeader w:val="true"/>
        </w:trPr>
        <w:tc>
          <w:tcPr>
            <w:tcW w:type="dxa" w:w="5544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SUBSURFACE FACT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VALUE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New-drill wellbore events since 2020, Pecos County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115 of 1,140 total events (10%)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Share of Pecos events that are workovers/reworks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90%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New-drill wells within 2 mi of tract, since 2020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New-drill wells within 5 mi of tract, since 2020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New-drill wells within 10 mi of tract, since 2020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1 (9.37 mi)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New-drill wells beyond 10 mi, since 2020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114 (median 19.9 mi, mean 20.9 mi)</w:t>
            </w:r>
          </w:p>
        </w:tc>
      </w:tr>
      <w:tr>
        <w:trPr>
          <w:cantSplit/>
        </w:trPr>
        <w:tc>
          <w:tcPr>
            <w:tcW w:type="dxa" w:w="554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Non-plugged wellbores that are marginal/EOL, ≤ 10 mi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83% (vs. 60% ≤ 2 mi, 62% ≤ 5 mi)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2.8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Peer-County Comparison — New-Drill Count Since 2020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16"/>
        <w:gridCol w:w="5040"/>
      </w:tblGrid>
      <w:tr>
        <w:trPr>
          <w:cantSplit/>
          <w:tblHeader w:val="true"/>
        </w:trPr>
        <w:tc>
          <w:tcPr>
            <w:tcW w:type="dxa" w:w="5616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COUNTY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NEW-DRILL COUNT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Pecos (subject county)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115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Reagan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668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Howard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990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Reeves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1,053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Loving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1,121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Midland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1,569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Martin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1,685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Peer average (6 counties, excl. Pecos)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 w:val="0"/>
                <w:i w:val="0"/>
                <w:color w:val="26313D"/>
                <w:sz w:val="16"/>
              </w:rPr>
              <w:t>1,181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nil"/>
              <w:left w:val="nil"/>
              <w:bottom w:val="single" w:sz="6" w:space="0" w:color="1B4965"/>
              <w:right w:val="nil"/>
            </w:tcBorders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1B4965"/>
                <w:sz w:val="16"/>
                <w:spacing w:val="10"/>
              </w:rPr>
              <w:t xml:space="preserve">SEC 2.7  </w:t>
            </w:r>
            <w:r>
              <w:rPr>
                <w:rFonts w:ascii="Arial" w:hAnsi="Arial"/>
                <w:b/>
                <w:i w:val="0"/>
                <w:color w:val="0F1B2D"/>
                <w:sz w:val="25"/>
              </w:rPr>
              <w:t>The Diligence Platform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nil"/>
              <w:left w:val="single" w:sz="18" w:space="0" w:color="1B4965"/>
              <w:bottom w:val="nil"/>
              <w:right w:val="nil"/>
            </w:tcBorders>
            <w:shd w:val="clear" w:color="auto" w:fill="EAF1F5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/>
                <w:color w:val="12324A"/>
                <w:sz w:val="18"/>
              </w:rPr>
              <w:t>Every figure in this document is independently re-derivable from a cited public source — this isn't a broker's summary.</w:t>
            </w:r>
          </w:p>
        </w:tc>
      </w:tr>
    </w:tbl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7992"/>
      </w:tblGrid>
      <w:tr>
        <w:trPr>
          <w:cantSplit/>
          <w:tblHeader w:val="true"/>
        </w:trPr>
        <w:tc>
          <w:tcPr>
            <w:tcW w:type="dxa" w:w="2664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PLATFORM FACT</w:t>
            </w:r>
          </w:p>
        </w:tc>
        <w:tc>
          <w:tcPr>
            <w:tcW w:type="dxa" w:w="7992"/>
            <w:tcBorders>
              <w:top w:val="nil"/>
              <w:left w:val="nil"/>
              <w:bottom w:val="single" w:sz="4" w:space="0" w:color="1B4965"/>
              <w:right w:val="nil"/>
            </w:tcBorders>
            <w:shd w:val="clear" w:color="auto" w:fill="1B4965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  <w:spacing w:val="8"/>
              </w:rPr>
              <w:t>VALUE</w:t>
            </w:r>
          </w:p>
        </w:tc>
      </w:tr>
      <w:tr>
        <w:trPr>
          <w:cantSplit/>
        </w:trPr>
        <w:tc>
          <w:tcPr>
            <w:tcW w:type="dxa" w:w="266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Source datasets</w:t>
            </w:r>
          </w:p>
        </w:tc>
        <w:tc>
          <w:tcPr>
            <w:tcW w:type="dxa" w:w="79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ERCOT GIS Report/TPIT, PUCT, EIA-860, TCEQ, RRC, FracFocus, Middle Pecos GCD, HIFLD, USGS, BTS, Census TIGER</w:t>
            </w:r>
          </w:p>
        </w:tc>
      </w:tr>
      <w:tr>
        <w:trPr>
          <w:cantSplit/>
        </w:trPr>
        <w:tc>
          <w:tcPr>
            <w:tcW w:type="dxa" w:w="266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Refresh cadence</w:t>
            </w:r>
          </w:p>
        </w:tc>
        <w:tc>
          <w:tcPr>
            <w:tcW w:type="dxa" w:w="79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RRC weekly; ERCOT queue/TPIT monthly; EIA/USGS/OSM annually</w:t>
            </w:r>
          </w:p>
        </w:tc>
      </w:tr>
      <w:tr>
        <w:trPr>
          <w:cantSplit/>
        </w:trPr>
        <w:tc>
          <w:tcPr>
            <w:tcW w:type="dxa" w:w="266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Build</w:t>
            </w:r>
          </w:p>
        </w:tc>
        <w:tc>
          <w:tcPr>
            <w:tcW w:type="dxa" w:w="79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5F7F8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Static, versioned; deployed bundle byte-verified on release; access logged</w:t>
            </w:r>
          </w:p>
        </w:tc>
      </w:tr>
      <w:tr>
        <w:trPr>
          <w:cantSplit/>
        </w:trPr>
        <w:tc>
          <w:tcPr>
            <w:tcW w:type="dxa" w:w="2664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Access</w:t>
            </w:r>
          </w:p>
        </w:tc>
        <w:tc>
          <w:tcPr>
            <w:tcW w:type="dxa" w:w="7992"/>
            <w:tcBorders>
              <w:top w:val="nil"/>
              <w:left w:val="nil"/>
              <w:bottom w:val="single" w:sz="3" w:space="0" w:color="C9D2D8"/>
              <w:right w:val="nil"/>
            </w:tcBorders>
            <w:shd w:val="clear" w:color="auto" w:fill="FFFFFF"/>
            <w:tcMar>
              <w:top w:w="40" w:type="dxa"/>
              <w:start w:w="90" w:type="dxa"/>
              <w:bottom w:w="4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26313D"/>
                <w:sz w:val="16"/>
              </w:rPr>
              <w:t>lrp-tx-gis.netlify.app (credentials issued to deal team separately)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tcBorders>
              <w:top w:val="single" w:sz="4" w:space="0" w:color="C9D2D8"/>
              <w:left w:val="single" w:sz="4" w:space="0" w:color="C9D2D8"/>
              <w:bottom w:val="single" w:sz="4" w:space="0" w:color="C9D2D8"/>
              <w:right w:val="single" w:sz="4" w:space="0" w:color="C9D2D8"/>
            </w:tcBorders>
            <w:shd w:val="clear" w:color="auto" w:fill="EFF1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5B6672"/>
                <w:sz w:val="13"/>
                <w:spacing w:val="8"/>
              </w:rPr>
              <w:t>NOTICES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5B6672"/>
                <w:sz w:val="13"/>
              </w:rPr>
              <w:t>Confidential offering memorandum prepared for a limited number of prospective counterparties under NDA. Not an offer to sell or a solicitation of securities. Information is preliminary and indicative, from sources believed reliable. Public data is drawn from the sources listed under §2.7 above; third-party transaction news is sourced to public reporting cited in the companion source register.</w:t>
            </w:r>
          </w:p>
        </w:tc>
      </w:tr>
    </w:tbl>
    <w:p>
      <w:pPr>
        <w:spacing w:before="120" w:after="40"/>
      </w:pPr>
      <w:r>
        <w:rPr>
          <w:rFonts w:ascii="Arial" w:hAnsi="Arial"/>
          <w:b w:val="0"/>
          <w:i/>
          <w:color w:val="5B6672"/>
          <w:sz w:val="12"/>
        </w:rPr>
        <w:t>Distance methodology: distances to GW Ranch and Longfellow are measured edge-to-edge, from the nearest point on the Caramba North tract boundary to each site's disclosed location, not centroid-to-centroid — consistently shorter given the tract's own spatial extent. GW Ranch: 15.5 mi (vs. 17.3 mi centroid). Longfellow: 19.3 mi (vs. 19.7 mi centroid); Longfellow's own public site states its location as more than 25 mi outside Fort Stockton, consistent with the longer figure — this distance should not be represented as shorter.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656" w:val="right"/>
      </w:tabs>
      <w:spacing w:before="0"/>
    </w:pPr>
    <w:r>
      <w:rPr>
        <w:rFonts w:ascii="Arial" w:hAnsi="Arial"/>
        <w:b w:val="0"/>
        <w:i w:val="0"/>
        <w:color w:val="5B6672"/>
        <w:sz w:val="13"/>
      </w:rPr>
      <w:t>CARAMBA NORTH — TECHNICAL SNAPSHOT  |  CONFIDENTIAL</w:t>
    </w:r>
    <w:r>
      <w:tab/>
    </w:r>
    <w:r>
      <w:rPr>
        <w:color w:val="5B6672"/>
        <w:sz w:val="13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26313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