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(wellbore records, recompletion re-stamps excluded):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16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Drilling activity in Pecos is mostly rework of existing wells, not new drilling. </w:t>
      </w:r>
      <w:r>
        <w:rPr>
          <w:rFonts w:ascii="Calibri" w:hAnsi="Calibri"/>
          <w:b w:val="0"/>
          <w:sz w:val="22"/>
        </w:rPr>
        <w:t>Tracing every Pecos wellbore record updated since 2020 (RRC dbf900, every event tagged to a unique API well number): only ≈10% (117 of 1,118) are genuine new drilling — the other ≈90% (1,001) are recompletion or workover events on existing wellbores. The recompletion activity is overwhelmingly Kinder Morgan Production reworking existing CO₂-flood (enhanced-recovery) fields — a workover rig on an existing bore, not the drilling-and-fracturing activity at issue, and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Of the 116 genuine new wells drilled in Pecos since 2020, ≈95% are deep (≥3,000 ft) and only six are shallow. New shallow drilling is therefore nearly nonexistent anywhere in Pecos, and the deep new drilling that does occur is concentrated well away from the tract (median 20 miles out — see Finding 5).</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 xml:space="preserve">This is the crux of the data. The Railroad Commission of Texas maintains a master wellbore database (dbf900) in which every drilling, completion, and workover event is logged against a unique API well number. Tracing every Pecos wellbore that has had </w:t>
      </w:r>
      <w:r>
        <w:rPr>
          <w:rFonts w:ascii="Calibri" w:hAnsi="Calibri"/>
          <w:b/>
          <w:sz w:val="22"/>
        </w:rPr>
        <w:t>any</w:t>
      </w:r>
      <w:r>
        <w:rPr>
          <w:rFonts w:ascii="Calibri" w:hAnsi="Calibri"/>
          <w:b w:val="0"/>
          <w:sz w:val="22"/>
        </w:rPr>
        <w:t xml:space="preserve"> recorded activity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in Pecos since 2020 (wellbore records)</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Share</w:t>
            </w:r>
          </w:p>
        </w:tc>
      </w:tr>
      <w:tr>
        <w:tc>
          <w:tcPr>
            <w:tcW w:type="dxa" w:w="2880"/>
            <w:shd w:val="clear" w:color="auto" w:fill="CFECCF"/>
          </w:tcPr>
          <w:p>
            <w:r/>
            <w:r>
              <w:rPr>
                <w:b/>
                <w:color w:val="14532D"/>
                <w:sz w:val="20"/>
              </w:rPr>
              <w:t>Genuine new drilling (a new wellbore drilled)</w:t>
            </w:r>
          </w:p>
        </w:tc>
        <w:tc>
          <w:tcPr>
            <w:tcW w:type="dxa" w:w="2880"/>
            <w:shd w:val="clear" w:color="auto" w:fill="CFECCF"/>
          </w:tcPr>
          <w:p>
            <w:r/>
            <w:r>
              <w:rPr>
                <w:b/>
                <w:color w:val="14532D"/>
                <w:sz w:val="20"/>
              </w:rPr>
              <w:t>117</w:t>
            </w:r>
          </w:p>
        </w:tc>
        <w:tc>
          <w:tcPr>
            <w:tcW w:type="dxa" w:w="2880"/>
            <w:shd w:val="clear" w:color="auto" w:fill="CFECCF"/>
          </w:tcPr>
          <w:p>
            <w:r/>
            <w:r>
              <w:rPr>
                <w:b/>
                <w:color w:val="14532D"/>
                <w:sz w:val="20"/>
              </w:rPr>
              <w:t>≈ 10%</w:t>
            </w:r>
          </w:p>
        </w:tc>
      </w:tr>
      <w:tr>
        <w:tc>
          <w:tcPr>
            <w:tcW w:type="dxa" w:w="2880"/>
            <w:shd w:val="clear" w:color="auto" w:fill="EAF5EA"/>
          </w:tcPr>
          <w:p>
            <w:r/>
            <w:r>
              <w:rPr>
                <w:b w:val="0"/>
                <w:sz w:val="20"/>
              </w:rPr>
              <w:t>Recompletion or workover on an existing wellbore</w:t>
            </w:r>
          </w:p>
        </w:tc>
        <w:tc>
          <w:tcPr>
            <w:tcW w:type="dxa" w:w="2880"/>
            <w:shd w:val="clear" w:color="auto" w:fill="EAF5EA"/>
          </w:tcPr>
          <w:p>
            <w:r/>
            <w:r>
              <w:rPr>
                <w:b w:val="0"/>
                <w:sz w:val="20"/>
              </w:rPr>
              <w:t>1,001</w:t>
            </w:r>
          </w:p>
        </w:tc>
        <w:tc>
          <w:tcPr>
            <w:tcW w:type="dxa" w:w="2880"/>
            <w:shd w:val="clear" w:color="auto" w:fill="EAF5EA"/>
          </w:tcPr>
          <w:p>
            <w:r/>
            <w:r>
              <w:rPr>
                <w:b w:val="0"/>
                <w:sz w:val="20"/>
              </w:rPr>
              <w:t>≈ 90%</w:t>
            </w:r>
          </w:p>
        </w:tc>
      </w:tr>
      <w:tr>
        <w:tc>
          <w:tcPr>
            <w:tcW w:type="dxa" w:w="2880"/>
            <w:shd w:val="clear" w:color="auto" w:fill="EAF5EA"/>
          </w:tcPr>
          <w:p>
            <w:r/>
            <w:r>
              <w:rPr>
                <w:b/>
                <w:sz w:val="20"/>
              </w:rPr>
              <w:t>Total wellbore-record activity</w:t>
            </w:r>
          </w:p>
        </w:tc>
        <w:tc>
          <w:tcPr>
            <w:tcW w:type="dxa" w:w="2880"/>
            <w:shd w:val="clear" w:color="auto" w:fill="EAF5EA"/>
          </w:tcPr>
          <w:p>
            <w:r/>
            <w:r>
              <w:rPr>
                <w:b/>
                <w:sz w:val="20"/>
              </w:rPr>
              <w:t>1,118</w:t>
            </w:r>
          </w:p>
        </w:tc>
        <w:tc>
          <w:tcPr>
            <w:tcW w:type="dxa" w:w="2880"/>
            <w:shd w:val="clear" w:color="auto" w:fill="EAF5EA"/>
          </w:tcPr>
          <w:p>
            <w:r/>
            <w:r>
              <w:rPr>
                <w:b/>
                <w:sz w:val="20"/>
              </w:rPr>
              <w:t>100%</w:t>
            </w:r>
          </w:p>
        </w:tc>
      </w:tr>
    </w:tbl>
    <w:p>
      <w:pPr>
        <w:spacing w:after="120" w:line="288" w:lineRule="auto"/>
      </w:pPr>
      <w:r>
        <w:rPr>
          <w:rFonts w:ascii="Calibri" w:hAnsi="Calibri"/>
          <w:b w:val="0"/>
          <w:sz w:val="22"/>
        </w:rPr>
        <w:t xml:space="preserve">In other words, </w:t>
      </w:r>
      <w:r>
        <w:rPr>
          <w:rFonts w:ascii="Calibri" w:hAnsi="Calibri"/>
          <w:b/>
          <w:sz w:val="22"/>
        </w:rPr>
        <w:t>about nine out of every ten “drilling-related” actions on a Pecos wellbore since 2020 are workovers on a well that already exists — not a new hole drilled</w:t>
      </w:r>
      <w:r>
        <w:rPr>
          <w:rFonts w:ascii="Calibri" w:hAnsi="Calibri"/>
          <w:b w:val="0"/>
          <w:sz w:val="22"/>
        </w:rPr>
        <w:t>. A recompletion or workover uses a small workover rig on an existing bore; it is not the rig-and-hydraulic-fracturing activity associated with ground vibration.</w:t>
      </w:r>
    </w:p>
    <w:p>
      <w:pPr>
        <w:jc w:val="center"/>
      </w:pPr>
      <w:r>
        <w:drawing>
          <wp:inline xmlns:a="http://schemas.openxmlformats.org/drawingml/2006/main" xmlns:pic="http://schemas.openxmlformats.org/drawingml/2006/picture">
            <wp:extent cx="5486400" cy="1089866"/>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1089866"/>
                    </a:xfrm>
                    <a:prstGeom prst="rect"/>
                  </pic:spPr>
                </pic:pic>
              </a:graphicData>
            </a:graphic>
          </wp:inline>
        </w:drawing>
      </w:r>
    </w:p>
    <w:p>
      <w:pPr>
        <w:spacing w:after="160"/>
        <w:jc w:val="center"/>
      </w:pPr>
      <w:r>
        <w:rPr>
          <w:i/>
          <w:color w:val="404040"/>
          <w:sz w:val="18"/>
        </w:rPr>
        <w:t>Of every 1,118 wellbore-record events in Pecos since 2020, only ~117 (≈10%) are genuine new drilling. The other ~1,001 (≈90%) are recompletion or workover events on existing wells.</w:t>
      </w:r>
    </w:p>
    <w:p>
      <w:pPr>
        <w:spacing w:after="120" w:line="288" w:lineRule="auto"/>
      </w:pPr>
      <w:r>
        <w:rPr>
          <w:rFonts w:ascii="Calibri" w:hAnsi="Calibri"/>
          <w:b w:val="0"/>
          <w:sz w:val="22"/>
        </w:rPr>
        <w:t xml:space="preserve">The bulk of this recompletion activity is one operator — </w:t>
      </w:r>
      <w:r>
        <w:rPr>
          <w:rFonts w:ascii="Calibri" w:hAnsi="Calibri"/>
          <w:b/>
          <w:sz w:val="22"/>
        </w:rPr>
        <w:t>Kinder Morgan Production</w:t>
      </w:r>
      <w:r>
        <w:rPr>
          <w:rFonts w:ascii="Calibri" w:hAnsi="Calibri"/>
          <w:b w:val="0"/>
          <w:sz w:val="22"/>
        </w:rPr>
        <w:t xml:space="preserve"> —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drilled in Pecos since 2020 (wellbore records, recompletion re-stamps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Of the </w:t>
      </w:r>
      <w:r>
        <w:rPr>
          <w:rFonts w:ascii="Calibri" w:hAnsi="Calibri"/>
          <w:b/>
          <w:sz w:val="22"/>
        </w:rPr>
        <w:t>116 genuine new wells drilled in Pecos County since 2020</w:t>
      </w:r>
      <w:r>
        <w:rPr>
          <w:rFonts w:ascii="Calibri" w:hAnsi="Calibri"/>
          <w:b w:val="0"/>
          <w:sz w:val="22"/>
        </w:rPr>
        <w:t xml:space="preserve"> (Pecos is ≈4,700 sq mi), about </w:t>
      </w:r>
      <w:r>
        <w:rPr>
          <w:rFonts w:ascii="Calibri" w:hAnsi="Calibri"/>
          <w:b/>
          <w:sz w:val="22"/>
        </w:rPr>
        <w:t>95% are deep (≥3,000 ft)</w:t>
      </w:r>
      <w:r>
        <w:rPr>
          <w:rFonts w:ascii="Calibri" w:hAnsi="Calibri"/>
          <w:b w:val="0"/>
          <w:sz w:val="22"/>
        </w:rPr>
        <w:t xml:space="preserve"> — the modern Permian unconventional program, operator-concentrated in Diamondback, XTO, Continental, and Gordy.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 xml:space="preserve">Why so many are end-of-life: </w:t>
      </w:r>
      <w:r>
        <w:rPr>
          <w:rFonts w:ascii="Calibri" w:hAnsi="Calibri"/>
          <w:b w:val="0"/>
          <w:sz w:val="22"/>
        </w:rPr>
        <w:t xml:space="preserve">most of these wellbores were drilled decades ago and are naturally depleted. The “genuine new drill” filter only removes recompletion re-stamps; it does </w:t>
      </w:r>
      <w:r>
        <w:rPr>
          <w:rFonts w:ascii="Calibri" w:hAnsi="Calibri"/>
          <w:b/>
          <w:sz w:val="22"/>
        </w:rPr>
        <w:t>not</w:t>
      </w:r>
      <w:r>
        <w:rPr>
          <w:rFonts w:ascii="Calibri" w:hAnsi="Calibri"/>
          <w:b w:val="0"/>
          <w:sz w:val="22"/>
        </w:rPr>
        <w:t xml:space="preserve"> restrict by spud date.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What the data can and can't tell us about hydraulic fracturing</w:t>
      </w:r>
    </w:p>
    <w:p>
      <w:pPr>
        <w:spacing w:after="120" w:line="288" w:lineRule="auto"/>
      </w:pPr>
      <w:r>
        <w:rPr>
          <w:rFonts w:ascii="Calibri" w:hAnsi="Calibri"/>
          <w:b w:val="0"/>
          <w:sz w:val="22"/>
        </w:rPr>
        <w:t xml:space="preserve">RRC's standard wellbore (dbf900) and W-1 permit files record well depth, profile (vertical, directional, or horizontal), spud and completion dates, and permit type — but they do </w:t>
      </w:r>
      <w:r>
        <w:rPr>
          <w:rFonts w:ascii="Calibri" w:hAnsi="Calibri"/>
          <w:b/>
          <w:sz w:val="22"/>
        </w:rPr>
        <w:t>not</w:t>
      </w:r>
      <w:r>
        <w:rPr>
          <w:rFonts w:ascii="Calibri" w:hAnsi="Calibri"/>
          <w:b w:val="0"/>
          <w:sz w:val="22"/>
        </w:rPr>
        <w:t xml:space="preserve"> directly disclose whether a well was hydraulically fractured at completion. The authoritative public record of fracking jobs is the Texas FracFocus disclosure database (fracfocus.org), which operators must file post-frac since 2012; pre-2012 frack jobs are not centrally archived in a single source.</w:t>
      </w:r>
    </w:p>
    <w:p>
      <w:pPr>
        <w:spacing w:after="80" w:line="288" w:lineRule="auto"/>
      </w:pPr>
      <w:r>
        <w:rPr>
          <w:rFonts w:ascii="Calibri" w:hAnsi="Calibri"/>
          <w:b w:val="0"/>
          <w:sz w:val="22"/>
        </w:rPr>
        <w:t>That said, the near-site well groups can be classified with high confidence from the RRC data alone, given depth, profile, and era: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Well group near the site</w:t>
            </w:r>
          </w:p>
        </w:tc>
        <w:tc>
          <w:tcPr>
            <w:tcW w:type="dxa" w:w="2880"/>
            <w:shd w:val="clear" w:color="auto" w:fill="DBE8FD"/>
          </w:tcPr>
          <w:p>
            <w:r/>
            <w:r>
              <w:rPr>
                <w:b/>
                <w:color w:val="1F3A63"/>
                <w:sz w:val="20"/>
              </w:rPr>
              <w:t>Within 10 mi</w:t>
            </w:r>
          </w:p>
        </w:tc>
        <w:tc>
          <w:tcPr>
            <w:tcW w:type="dxa" w:w="2880"/>
            <w:shd w:val="clear" w:color="auto" w:fill="DBE8FD"/>
          </w:tcPr>
          <w:p>
            <w:r/>
            <w:r>
              <w:rPr>
                <w:b/>
                <w:color w:val="1F3A63"/>
                <w:sz w:val="20"/>
              </w:rPr>
              <w:t>Hydraulically fractured?</w:t>
            </w:r>
          </w:p>
        </w:tc>
      </w:tr>
      <w:tr>
        <w:tc>
          <w:tcPr>
            <w:tcW w:type="dxa" w:w="2880"/>
          </w:tcPr>
          <w:p>
            <w:r/>
            <w:r>
              <w:rPr>
                <w:b w:val="0"/>
                <w:sz w:val="20"/>
              </w:rPr>
              <w:t>Modern Permian horizontal (deep, spud ≥ 2010)</w:t>
            </w:r>
          </w:p>
        </w:tc>
        <w:tc>
          <w:tcPr>
            <w:tcW w:type="dxa" w:w="2880"/>
          </w:tcPr>
          <w:p>
            <w:r/>
            <w:r>
              <w:rPr>
                <w:b w:val="0"/>
                <w:sz w:val="20"/>
              </w:rPr>
              <w:t>1  (9.37 mi, 2020)</w:t>
            </w:r>
          </w:p>
        </w:tc>
        <w:tc>
          <w:tcPr>
            <w:tcW w:type="dxa" w:w="2880"/>
          </w:tcPr>
          <w:p>
            <w:r/>
            <w:r>
              <w:rPr>
                <w:b w:val="0"/>
                <w:sz w:val="20"/>
              </w:rPr>
              <w:t>Yes — essentially all stimulated</w:t>
            </w:r>
          </w:p>
        </w:tc>
      </w:tr>
      <w:tr>
        <w:tc>
          <w:tcPr>
            <w:tcW w:type="dxa" w:w="2880"/>
          </w:tcPr>
          <w:p>
            <w:r/>
            <w:r>
              <w:rPr>
                <w:b w:val="0"/>
                <w:sz w:val="20"/>
              </w:rPr>
              <w:t>Conventional vertical oil at ≈3,000–3,500 ft (1980s–2010s)</w:t>
            </w:r>
          </w:p>
        </w:tc>
        <w:tc>
          <w:tcPr>
            <w:tcW w:type="dxa" w:w="2880"/>
          </w:tcPr>
          <w:p>
            <w:r/>
            <w:r>
              <w:rPr>
                <w:b w:val="0"/>
                <w:sz w:val="20"/>
              </w:rPr>
              <w:t>~31 still producing</w:t>
            </w:r>
          </w:p>
        </w:tc>
        <w:tc>
          <w:tcPr>
            <w:tcW w:type="dxa" w:w="2880"/>
          </w:tcPr>
          <w:p>
            <w:r/>
            <w:r>
              <w:rPr>
                <w:b w:val="0"/>
                <w:sz w:val="20"/>
              </w:rPr>
              <w:t>No — pumped, not fractured</w:t>
            </w:r>
          </w:p>
        </w:tc>
      </w:tr>
      <w:tr>
        <w:tc>
          <w:tcPr>
            <w:tcW w:type="dxa" w:w="2880"/>
          </w:tcPr>
          <w:p>
            <w:r/>
            <w:r>
              <w:rPr>
                <w:b w:val="0"/>
                <w:sz w:val="20"/>
              </w:rPr>
              <w:t>Truly shallow (&lt;3,000 ft) vertical oil (1980s–2010s)</w:t>
            </w:r>
          </w:p>
        </w:tc>
        <w:tc>
          <w:tcPr>
            <w:tcW w:type="dxa" w:w="2880"/>
          </w:tcPr>
          <w:p>
            <w:r/>
            <w:r>
              <w:rPr>
                <w:b w:val="0"/>
                <w:sz w:val="20"/>
              </w:rPr>
              <w:t>~3 still producing</w:t>
            </w:r>
          </w:p>
        </w:tc>
        <w:tc>
          <w:tcPr>
            <w:tcW w:type="dxa" w:w="2880"/>
          </w:tcPr>
          <w:p>
            <w:r/>
            <w:r>
              <w:rPr>
                <w:b w:val="0"/>
                <w:sz w:val="20"/>
              </w:rPr>
              <w:t>No</w:t>
            </w:r>
          </w:p>
        </w:tc>
      </w:tr>
      <w:tr>
        <w:tc>
          <w:tcPr>
            <w:tcW w:type="dxa" w:w="2880"/>
          </w:tcPr>
          <w:p>
            <w:r/>
            <w:r>
              <w:rPr>
                <w:b w:val="0"/>
                <w:sz w:val="20"/>
              </w:rPr>
              <w:t>Legacy deep gas at 17,000–22,800 ft (1960s–70s)</w:t>
            </w:r>
          </w:p>
        </w:tc>
        <w:tc>
          <w:tcPr>
            <w:tcW w:type="dxa" w:w="2880"/>
          </w:tcPr>
          <w:p>
            <w:r/>
            <w:r>
              <w:rPr>
                <w:b w:val="0"/>
                <w:sz w:val="20"/>
              </w:rPr>
              <w:t>~15 still producing</w:t>
            </w:r>
          </w:p>
        </w:tc>
        <w:tc>
          <w:tcPr>
            <w:tcW w:type="dxa" w:w="2880"/>
          </w:tcPr>
          <w:p>
            <w:r/>
            <w:r>
              <w:rPr>
                <w:b w:val="0"/>
                <w:sz w:val="20"/>
              </w:rPr>
              <w:t>Possibly acid-stimulated at original completion; not now</w:t>
            </w:r>
          </w:p>
        </w:tc>
      </w:tr>
    </w:tbl>
    <w:p>
      <w:pPr>
        <w:spacing w:after="120" w:line="288" w:lineRule="auto"/>
        <w:shd w:val="clear" w:color="auto" w:fill="DEEAF6"/>
      </w:pPr>
      <w:r>
        <w:rPr>
          <w:rFonts w:ascii="Calibri" w:hAnsi="Calibri"/>
          <w:b w:val="0"/>
          <w:sz w:val="22"/>
        </w:rPr>
        <w:t xml:space="preserve">The one well near the site that is almost certainly fracked — the 9.37-mi, 2020, 9,237-ft deep-horizontal — is not within five miles, is now five years past completion, and is no longer in the hydraulic-fracturing phase. </w:t>
      </w:r>
      <w:r>
        <w:rPr>
          <w:rFonts w:ascii="Calibri" w:hAnsi="Calibri"/>
          <w:b/>
          <w:sz w:val="22"/>
        </w:rPr>
        <w:t>No active hydraulic-fracturing operation is occurring at or near the Caramba North tract — neither on horizontal wellbores nor on vertical wellbores.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