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Pecos County Drilling Activity — Historical &amp; Recent Record</w:t>
      </w:r>
    </w:p>
    <w:p>
      <w:pPr>
        <w:spacing w:after="120"/>
      </w:pPr>
      <w:r>
        <w:rPr>
          <w:b w:val="0"/>
          <w:sz w:val="18"/>
        </w:rPr>
        <w:t>Prepared: 2026-05-19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spacing w:after="120"/>
      </w:pPr>
      <w:r>
        <w:rPr>
          <w:i/>
          <w:sz w:val="22"/>
        </w:rPr>
        <w:t xml:space="preserve">This report is intended to accompany and utilizes the data underlying the interactive map of Caramba North, which can be accessed through </w:t>
      </w:r>
      <w:hyperlink r:id="rId10">
        <w:r>
          <w:rPr>
            <w:color w:val="0563C1"/>
            <w:u w:val="single"/>
            <w:sz w:val="22"/>
          </w:rPr>
          <w:t>this link</w:t>
        </w:r>
      </w:hyperlink>
      <w:r>
        <w:rPr>
          <w:i/>
          <w:sz w:val="22"/>
        </w:rPr>
        <w:t>.</w:t>
      </w:r>
    </w:p>
    <w:p>
      <w:pPr>
        <w:pStyle w:val="Heading1"/>
      </w:pPr>
      <w:r>
        <w:t>Table of Contents</w:t>
      </w:r>
    </w:p>
    <w:p>
      <w:pPr>
        <w:spacing w:after="240"/>
      </w:pPr>
      <w:r>
        <w:fldChar w:fldCharType="begin"/>
        <w:instrText xml:space="preserve">TOC \o "1-3" \h \z \u</w:instrText>
        <w:fldChar w:fldCharType="separate"/>
        <w:t>Table of Contents — right-click and choose 'Update Field' in Word to populate.</w:t>
        <w:fldChar w:fldCharType="end"/>
      </w:r>
    </w:p>
    <w:p>
      <w:r>
        <w:br w:type="page"/>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wells within two miles are all decades-old legacy completions (drilled 1950s–2002) — mostly plugged shallow verticals plus a handful of long-completed deep wells — none representing active drilling, hydraulic fracturing, or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 overwhelmingly the deep modern-Permian program (predominantly horizontal in this region, though hydraulic-fracturing completions are not limited to horizontal wellbores) — is the minority share,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pPr>
      <w:r>
        <w:rPr>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“marginal or end-of-life” when its lease's trailing-average output is at or below 125 Mcf/day of gas AND at or below 25 bbl/day of oil</w:t>
      </w:r>
      <w:r>
        <w:rPr>
          <w:b w:val="0"/>
          <w:sz w:val="22"/>
        </w:rPr>
        <w:t xml:space="preserve"> — a strict marginal-well threshold.</w:t>
      </w:r>
    </w:p>
    <w:p>
      <w:pPr>
        <w:spacing w:after="120"/>
        <w:shd w:val="clear" w:color="auto" w:fill="EAF2FF"/>
      </w:pPr>
      <w:r>
        <w:rPr>
          <w:b w:val="0"/>
          <w:sz w:val="22"/>
        </w:rPr>
        <w:t xml:space="preserve">Of the 291 non-plugged genuine-new-drill wells within ten miles of the Caramba North tract, </w:t>
      </w:r>
      <w:r>
        <w:rPr>
          <w:b/>
          <w:sz w:val="22"/>
        </w:rPr>
        <w:t>241 (about 83%) are marginal or end-of-life</w:t>
      </w:r>
      <w:r>
        <w:rPr>
          <w:b w:val="0"/>
          <w:sz w:val="22"/>
        </w:rPr>
        <w:t>. The 50 still producing above that threshold are not active drilling activity: they are decades-old completions, in four groups — about 15 legacy deep-gas wells (mostly 1965–1978 spud, ≈17,000–22,800 ft); a cluster of ~31 low-rate vertical conventional oil wells at ≈3,150–3,440 ft depth (spud 1986–2012, mostly 2007–2012; all on a unitized lease producing roughly 37.5 bbl/day per well — a stripper-grade pumping operation); 3 truly shallow (&lt;3,000 ft) oil wells at 2,824–2,945 ft (spud 2004–2011, also at stripper rates just above the threshold); and the single 2020 deep-horizontal new-drill noted in Finding 4 (9,237 ft, 9.37 mi out). Within five miles, 52 of 86 non-plugged wells are marginal or end-of-life and the 34 still producing are 3 of the legacy deep-gas wells plus 31 of the shallow vertical oil cluster — none from the modern Permian horizontal program. Within two miles, 3 of 5 non-plugged wells are marginal or end-of-life and the 2 still producing are the 1.13-mi 1975/≈22,100-ft legacy gas well (125.7 Mcf/d) and a 1.97-mi 2008/≈3,275-ft vertical oil well (37.5 bbl/d). A pumping wellhead or low-rate gas well on a decades-old completion is not a drill rig or a hydraulic-fracturing spread; together with the plugged legacy wells discussed above, there is no active drilling or hydraulic-fracturing operation at or near the site.</w:t>
      </w:r>
    </w:p>
    <w:p>
      <w:pPr>
        <w:spacing w:after="120"/>
      </w:pPr>
      <w:r>
        <w:rPr>
          <w:b w:val="0"/>
          <w:i/>
          <w:sz w:val="22"/>
        </w:rPr>
        <w:t>County-wide, of the ≈35,100 genuine new-drill wellbores,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B00000"/>
        <w:sz w:val="18"/>
      </w:rPr>
      <w:t>CONFIDENTIAL — PECOS COUNTY · CARAMBA NORTH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lrp-tx-gis.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