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record (dbf900) and, in Findings 9 and 10, the RRC PDQ production record and the public FracFocus hydraulic-fracturing disclosure database.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(wellbore records, recompletion re-stamps excluded):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8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160" w:line="288" w:lineRule="auto"/>
        <w:shd w:val="clear" w:color="auto" w:fill="EAF2FF"/>
      </w:pPr>
      <w:r>
        <w:rPr>
          <w:rFonts w:ascii="Calibri" w:hAnsi="Calibri"/>
          <w:b w:val="0"/>
          <w:sz w:val="22"/>
        </w:rPr>
        <w:t xml:space="preserve">Independently confirmed against the public hydraulic-fracturing disclosure record (FracFocus, 2011–present, cross-referenced to the wellbore record to exclude re-fracs on existing wells): </w:t>
      </w:r>
      <w:r>
        <w:rPr>
          <w:rFonts w:ascii="Calibri" w:hAnsi="Calibri"/>
          <w:b/>
          <w:sz w:val="22"/>
        </w:rPr>
        <w:t>no new-drill frack has ever been filed within two miles of the tract, and the most recent within five miles was 2015.</w:t>
      </w:r>
      <w:r>
        <w:rPr>
          <w:rFonts w:ascii="Calibri" w:hAnsi="Calibri"/>
          <w:b w:val="0"/>
          <w:sz w:val="22"/>
        </w:rPr>
        <w:t xml:space="preserve"> See Finding 10.</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Drilling activity in Pecos is mostly rework of existing wells, not new drilling. </w:t>
      </w:r>
      <w:r>
        <w:rPr>
          <w:rFonts w:ascii="Calibri" w:hAnsi="Calibri"/>
          <w:b w:val="0"/>
          <w:sz w:val="22"/>
        </w:rPr>
        <w:t>Tracing every Pecos wellbore record updated since 2020 (RRC dbf900, every event tagged to a unique API well number): only ≈10% (117 of 1,118) are genuine new drilling — the other ≈90% (1,001) are recompletion or workover events on existing wellbores. The recompletion activity is overwhelmingly Kinder Morgan Production reworking existing CO₂-flood (enhanced-recovery) fields — a workover rig on an existing bore, not the drilling-and-fracturing activity at issue, and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Of the 116 genuine new wells drilled in Pecos since 2020, ≈95% are deep (≥3,000 ft) and only six are shallow. New shallow drilling is therefore nearly nonexistent anywhere in Pecos, and the deep new drilling that does occur is concentrated well away from the tract (median 20 miles out — see Finding 5).</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 xml:space="preserve">This is the crux of the data. The Railroad Commission of Texas maintains a master wellbore database (dbf900) in which every drilling, completion, and workover event is logged against a unique API well number. Tracing every Pecos wellbore that has had </w:t>
      </w:r>
      <w:r>
        <w:rPr>
          <w:rFonts w:ascii="Calibri" w:hAnsi="Calibri"/>
          <w:b/>
          <w:sz w:val="22"/>
        </w:rPr>
        <w:t>any</w:t>
      </w:r>
      <w:r>
        <w:rPr>
          <w:rFonts w:ascii="Calibri" w:hAnsi="Calibri"/>
          <w:b w:val="0"/>
          <w:sz w:val="22"/>
        </w:rPr>
        <w:t xml:space="preserve"> recorded activity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in Pecos since 2020 (wellbore records)</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Share</w:t>
            </w:r>
          </w:p>
        </w:tc>
      </w:tr>
      <w:tr>
        <w:tc>
          <w:tcPr>
            <w:tcW w:type="dxa" w:w="2880"/>
            <w:shd w:val="clear" w:color="auto" w:fill="CFECCF"/>
          </w:tcPr>
          <w:p>
            <w:r/>
            <w:r>
              <w:rPr>
                <w:b/>
                <w:color w:val="14532D"/>
                <w:sz w:val="20"/>
              </w:rPr>
              <w:t>Genuine new drilling (a new wellbore drilled)</w:t>
            </w:r>
          </w:p>
        </w:tc>
        <w:tc>
          <w:tcPr>
            <w:tcW w:type="dxa" w:w="2880"/>
            <w:shd w:val="clear" w:color="auto" w:fill="CFECCF"/>
          </w:tcPr>
          <w:p>
            <w:r/>
            <w:r>
              <w:rPr>
                <w:b/>
                <w:color w:val="14532D"/>
                <w:sz w:val="20"/>
              </w:rPr>
              <w:t>117</w:t>
            </w:r>
          </w:p>
        </w:tc>
        <w:tc>
          <w:tcPr>
            <w:tcW w:type="dxa" w:w="2880"/>
            <w:shd w:val="clear" w:color="auto" w:fill="CFECCF"/>
          </w:tcPr>
          <w:p>
            <w:r/>
            <w:r>
              <w:rPr>
                <w:b/>
                <w:color w:val="14532D"/>
                <w:sz w:val="20"/>
              </w:rPr>
              <w:t>≈ 10%</w:t>
            </w:r>
          </w:p>
        </w:tc>
      </w:tr>
      <w:tr>
        <w:tc>
          <w:tcPr>
            <w:tcW w:type="dxa" w:w="2880"/>
            <w:shd w:val="clear" w:color="auto" w:fill="EAF5EA"/>
          </w:tcPr>
          <w:p>
            <w:r/>
            <w:r>
              <w:rPr>
                <w:b w:val="0"/>
                <w:sz w:val="20"/>
              </w:rPr>
              <w:t>Recompletion or workover on an existing wellbore</w:t>
            </w:r>
          </w:p>
        </w:tc>
        <w:tc>
          <w:tcPr>
            <w:tcW w:type="dxa" w:w="2880"/>
            <w:shd w:val="clear" w:color="auto" w:fill="EAF5EA"/>
          </w:tcPr>
          <w:p>
            <w:r/>
            <w:r>
              <w:rPr>
                <w:b w:val="0"/>
                <w:sz w:val="20"/>
              </w:rPr>
              <w:t>1,001</w:t>
            </w:r>
          </w:p>
        </w:tc>
        <w:tc>
          <w:tcPr>
            <w:tcW w:type="dxa" w:w="2880"/>
            <w:shd w:val="clear" w:color="auto" w:fill="EAF5EA"/>
          </w:tcPr>
          <w:p>
            <w:r/>
            <w:r>
              <w:rPr>
                <w:b w:val="0"/>
                <w:sz w:val="20"/>
              </w:rPr>
              <w:t>≈ 90%</w:t>
            </w:r>
          </w:p>
        </w:tc>
      </w:tr>
      <w:tr>
        <w:tc>
          <w:tcPr>
            <w:tcW w:type="dxa" w:w="2880"/>
            <w:shd w:val="clear" w:color="auto" w:fill="EAF5EA"/>
          </w:tcPr>
          <w:p>
            <w:r/>
            <w:r>
              <w:rPr>
                <w:b/>
                <w:sz w:val="20"/>
              </w:rPr>
              <w:t>Total wellbore-record activity</w:t>
            </w:r>
          </w:p>
        </w:tc>
        <w:tc>
          <w:tcPr>
            <w:tcW w:type="dxa" w:w="2880"/>
            <w:shd w:val="clear" w:color="auto" w:fill="EAF5EA"/>
          </w:tcPr>
          <w:p>
            <w:r/>
            <w:r>
              <w:rPr>
                <w:b/>
                <w:sz w:val="20"/>
              </w:rPr>
              <w:t>1,118</w:t>
            </w:r>
          </w:p>
        </w:tc>
        <w:tc>
          <w:tcPr>
            <w:tcW w:type="dxa" w:w="2880"/>
            <w:shd w:val="clear" w:color="auto" w:fill="EAF5EA"/>
          </w:tcPr>
          <w:p>
            <w:r/>
            <w:r>
              <w:rPr>
                <w:b/>
                <w:sz w:val="20"/>
              </w:rPr>
              <w:t>100%</w:t>
            </w:r>
          </w:p>
        </w:tc>
      </w:tr>
    </w:tbl>
    <w:p>
      <w:pPr>
        <w:spacing w:after="120" w:line="288" w:lineRule="auto"/>
      </w:pPr>
      <w:r>
        <w:rPr>
          <w:rFonts w:ascii="Calibri" w:hAnsi="Calibri"/>
          <w:b w:val="0"/>
          <w:sz w:val="22"/>
        </w:rPr>
        <w:t xml:space="preserve">In other words, </w:t>
      </w:r>
      <w:r>
        <w:rPr>
          <w:rFonts w:ascii="Calibri" w:hAnsi="Calibri"/>
          <w:b/>
          <w:sz w:val="22"/>
        </w:rPr>
        <w:t>about nine out of every ten “drilling-related” actions on a Pecos wellbore since 2020 are workovers on a well that already exists — not a new hole drilled</w:t>
      </w:r>
      <w:r>
        <w:rPr>
          <w:rFonts w:ascii="Calibri" w:hAnsi="Calibri"/>
          <w:b w:val="0"/>
          <w:sz w:val="22"/>
        </w:rPr>
        <w:t>. A recompletion or workover uses a small workover rig on an existing bore; it is not the rig-and-hydraulic-fracturing activity associated with ground vibration.</w:t>
      </w:r>
    </w:p>
    <w:p>
      <w:pPr>
        <w:jc w:val="center"/>
      </w:pPr>
      <w:r>
        <w:drawing>
          <wp:inline xmlns:a="http://schemas.openxmlformats.org/drawingml/2006/main" xmlns:pic="http://schemas.openxmlformats.org/drawingml/2006/picture">
            <wp:extent cx="5486400" cy="1089866"/>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1089866"/>
                    </a:xfrm>
                    <a:prstGeom prst="rect"/>
                  </pic:spPr>
                </pic:pic>
              </a:graphicData>
            </a:graphic>
          </wp:inline>
        </w:drawing>
      </w:r>
    </w:p>
    <w:p>
      <w:pPr>
        <w:spacing w:after="160"/>
        <w:jc w:val="center"/>
      </w:pPr>
      <w:r>
        <w:rPr>
          <w:i/>
          <w:color w:val="404040"/>
          <w:sz w:val="18"/>
        </w:rPr>
        <w:t>Of every 1,118 wellbore-record events in Pecos since 2020, only ~117 (≈10%) are genuine new drilling. The other ~1,001 (≈90%) are recompletion or workover events on existing wells.</w:t>
      </w:r>
    </w:p>
    <w:p>
      <w:pPr>
        <w:spacing w:after="120" w:line="288" w:lineRule="auto"/>
      </w:pPr>
      <w:r>
        <w:rPr>
          <w:rFonts w:ascii="Calibri" w:hAnsi="Calibri"/>
          <w:b w:val="0"/>
          <w:sz w:val="22"/>
        </w:rPr>
        <w:t xml:space="preserve">The bulk of this recompletion activity is one operator — </w:t>
      </w:r>
      <w:r>
        <w:rPr>
          <w:rFonts w:ascii="Calibri" w:hAnsi="Calibri"/>
          <w:b/>
          <w:sz w:val="22"/>
        </w:rPr>
        <w:t>Kinder Morgan Production</w:t>
      </w:r>
      <w:r>
        <w:rPr>
          <w:rFonts w:ascii="Calibri" w:hAnsi="Calibri"/>
          <w:b w:val="0"/>
          <w:sz w:val="22"/>
        </w:rPr>
        <w:t xml:space="preserve"> —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drilled in Pecos since 2020 (wellbore records, recompletion re-stamps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Of the </w:t>
      </w:r>
      <w:r>
        <w:rPr>
          <w:rFonts w:ascii="Calibri" w:hAnsi="Calibri"/>
          <w:b/>
          <w:sz w:val="22"/>
        </w:rPr>
        <w:t>116 genuine new wells drilled in Pecos County since 2020</w:t>
      </w:r>
      <w:r>
        <w:rPr>
          <w:rFonts w:ascii="Calibri" w:hAnsi="Calibri"/>
          <w:b w:val="0"/>
          <w:sz w:val="22"/>
        </w:rPr>
        <w:t xml:space="preserve"> (Pecos is ≈4,700 sq mi), about </w:t>
      </w:r>
      <w:r>
        <w:rPr>
          <w:rFonts w:ascii="Calibri" w:hAnsi="Calibri"/>
          <w:b/>
          <w:sz w:val="22"/>
        </w:rPr>
        <w:t>95% are deep (≥3,000 ft)</w:t>
      </w:r>
      <w:r>
        <w:rPr>
          <w:rFonts w:ascii="Calibri" w:hAnsi="Calibri"/>
          <w:b w:val="0"/>
          <w:sz w:val="22"/>
        </w:rPr>
        <w:t xml:space="preserve"> — the modern Permian unconventional program, operator-concentrated in the deep-horizontal players (Diamondback, XTO, Gordy — see Finding 10).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To be clear, the 241 marginal wells are not new drilling.</w:t>
      </w:r>
      <w:r>
        <w:rPr>
          <w:rFonts w:ascii="Calibri" w:hAnsi="Calibri"/>
          <w:b w:val="0"/>
          <w:sz w:val="22"/>
        </w:rPr>
        <w:t xml:space="preserve"> They are decades-old completions that have naturally depleted over 30–60 years of production. (The “non-plugged wellbores” count includes every physical wellbore in the area regardless of when it was drilled — recompletion paperwork re-stamps are excluded, but spud date is not restricted.)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The public fracking record (FracFocus) confirms: no new-drill fracking jobs within two miles of the tract, ever</w:t>
      </w:r>
    </w:p>
    <w:p>
      <w:pPr>
        <w:spacing w:after="80" w:line="288" w:lineRule="auto"/>
      </w:pPr>
      <w:r>
        <w:rPr>
          <w:rFonts w:ascii="Calibri" w:hAnsi="Calibri"/>
          <w:b w:val="0"/>
          <w:sz w:val="22"/>
        </w:rPr>
        <w:t xml:space="preserve">The Texas </w:t>
      </w:r>
      <w:r>
        <w:rPr>
          <w:rFonts w:ascii="Calibri" w:hAnsi="Calibri"/>
          <w:b/>
          <w:sz w:val="22"/>
        </w:rPr>
        <w:t>FracFocus disclosure database</w:t>
      </w:r>
      <w:r>
        <w:rPr>
          <w:rFonts w:ascii="Calibri" w:hAnsi="Calibri"/>
          <w:b w:val="0"/>
          <w:sz w:val="22"/>
        </w:rPr>
        <w:t xml:space="preserve"> (fracfocus.org) is the public record of every hydraulic-fracturing job that operators have filed in Texas since 2011. Every Pecos County disclosure (949 in total) was cross-referenced against the RRC wellbore record by API number to </w:t>
      </w:r>
      <w:r>
        <w:rPr>
          <w:rFonts w:ascii="Calibri" w:hAnsi="Calibri"/>
          <w:b/>
          <w:sz w:val="22"/>
        </w:rPr>
        <w:t>exclude re-fracs on existing wells</w:t>
      </w:r>
      <w:r>
        <w:rPr>
          <w:rFonts w:ascii="Calibri" w:hAnsi="Calibri"/>
          <w:b w:val="0"/>
          <w:sz w:val="22"/>
        </w:rPr>
        <w:t xml:space="preserve"> — the figures below are confirmed new-drill fracks only (a frack performed at the original completion of a newly drilled wellbore):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Distance band from tract</w:t>
            </w:r>
          </w:p>
        </w:tc>
        <w:tc>
          <w:tcPr>
            <w:tcW w:type="dxa" w:w="2880"/>
            <w:shd w:val="clear" w:color="auto" w:fill="DBE8FD"/>
          </w:tcPr>
          <w:p>
            <w:r/>
            <w:r>
              <w:rPr>
                <w:b/>
                <w:color w:val="1F3A63"/>
                <w:sz w:val="20"/>
              </w:rPr>
              <w:t>New-drill fracks (2011 – present)</w:t>
            </w:r>
          </w:p>
        </w:tc>
        <w:tc>
          <w:tcPr>
            <w:tcW w:type="dxa" w:w="2880"/>
            <w:shd w:val="clear" w:color="auto" w:fill="DBE8FD"/>
          </w:tcPr>
          <w:p>
            <w:r/>
            <w:r>
              <w:rPr>
                <w:b/>
                <w:color w:val="1F3A63"/>
                <w:sz w:val="20"/>
              </w:rPr>
              <w:t>Most recent year</w:t>
            </w:r>
          </w:p>
        </w:tc>
      </w:tr>
      <w:tr>
        <w:tc>
          <w:tcPr>
            <w:tcW w:type="dxa" w:w="2880"/>
            <w:shd w:val="clear" w:color="auto" w:fill="CFECCF"/>
          </w:tcPr>
          <w:p>
            <w:r/>
            <w:r>
              <w:rPr>
                <w:b/>
                <w:color w:val="14532D"/>
                <w:sz w:val="20"/>
              </w:rPr>
              <w:t>0 – 2 mi</w:t>
            </w:r>
          </w:p>
        </w:tc>
        <w:tc>
          <w:tcPr>
            <w:tcW w:type="dxa" w:w="2880"/>
            <w:shd w:val="clear" w:color="auto" w:fill="CFECCF"/>
          </w:tcPr>
          <w:p>
            <w:r/>
            <w:r>
              <w:rPr>
                <w:b/>
                <w:color w:val="14532D"/>
                <w:sz w:val="20"/>
              </w:rPr>
              <w:t>0</w:t>
            </w:r>
          </w:p>
        </w:tc>
        <w:tc>
          <w:tcPr>
            <w:tcW w:type="dxa" w:w="2880"/>
            <w:shd w:val="clear" w:color="auto" w:fill="CFECCF"/>
          </w:tcPr>
          <w:p>
            <w:r/>
            <w:r>
              <w:rPr>
                <w:b/>
                <w:color w:val="14532D"/>
                <w:sz w:val="20"/>
              </w:rPr>
              <w:t>— none, ever</w:t>
            </w:r>
          </w:p>
        </w:tc>
      </w:tr>
      <w:tr>
        <w:tc>
          <w:tcPr>
            <w:tcW w:type="dxa" w:w="2880"/>
            <w:shd w:val="clear" w:color="auto" w:fill="EAF5EA"/>
          </w:tcPr>
          <w:p>
            <w:r/>
            <w:r>
              <w:rPr>
                <w:b w:val="0"/>
                <w:sz w:val="20"/>
              </w:rPr>
              <w:t>2 – 5 mi</w:t>
            </w:r>
          </w:p>
        </w:tc>
        <w:tc>
          <w:tcPr>
            <w:tcW w:type="dxa" w:w="2880"/>
            <w:shd w:val="clear" w:color="auto" w:fill="EAF5EA"/>
          </w:tcPr>
          <w:p>
            <w:r/>
            <w:r>
              <w:rPr>
                <w:b w:val="0"/>
                <w:sz w:val="20"/>
              </w:rPr>
              <w:t>9</w:t>
            </w:r>
          </w:p>
        </w:tc>
        <w:tc>
          <w:tcPr>
            <w:tcW w:type="dxa" w:w="2880"/>
            <w:shd w:val="clear" w:color="auto" w:fill="EAF5EA"/>
          </w:tcPr>
          <w:p>
            <w:r/>
            <w:r>
              <w:rPr>
                <w:b w:val="0"/>
                <w:sz w:val="20"/>
              </w:rPr>
              <w:t>2015 (most recent)</w:t>
            </w:r>
          </w:p>
        </w:tc>
      </w:tr>
      <w:tr>
        <w:tc>
          <w:tcPr>
            <w:tcW w:type="dxa" w:w="2880"/>
          </w:tcPr>
          <w:p>
            <w:r/>
            <w:r>
              <w:rPr>
                <w:b w:val="0"/>
                <w:sz w:val="20"/>
              </w:rPr>
              <w:t>5 – 10 mi</w:t>
            </w:r>
          </w:p>
        </w:tc>
        <w:tc>
          <w:tcPr>
            <w:tcW w:type="dxa" w:w="2880"/>
          </w:tcPr>
          <w:p>
            <w:r/>
            <w:r>
              <w:rPr>
                <w:b w:val="0"/>
                <w:sz w:val="20"/>
              </w:rPr>
              <w:t>19</w:t>
            </w:r>
          </w:p>
        </w:tc>
        <w:tc>
          <w:tcPr>
            <w:tcW w:type="dxa" w:w="2880"/>
          </w:tcPr>
          <w:p>
            <w:r/>
            <w:r>
              <w:rPr>
                <w:b w:val="0"/>
                <w:sz w:val="20"/>
              </w:rPr>
              <w:t>2025</w:t>
            </w:r>
          </w:p>
        </w:tc>
      </w:tr>
      <w:tr>
        <w:tc>
          <w:tcPr>
            <w:tcW w:type="dxa" w:w="2880"/>
            <w:shd w:val="clear" w:color="auto" w:fill="EAF5EA"/>
          </w:tcPr>
          <w:p>
            <w:r/>
            <w:r>
              <w:rPr>
                <w:b w:val="0"/>
                <w:sz w:val="20"/>
              </w:rPr>
              <w:t>10 – 20 mi</w:t>
            </w:r>
          </w:p>
        </w:tc>
        <w:tc>
          <w:tcPr>
            <w:tcW w:type="dxa" w:w="2880"/>
            <w:shd w:val="clear" w:color="auto" w:fill="EAF5EA"/>
          </w:tcPr>
          <w:p>
            <w:r/>
            <w:r>
              <w:rPr>
                <w:b w:val="0"/>
                <w:sz w:val="20"/>
              </w:rPr>
              <w:t>450</w:t>
            </w:r>
          </w:p>
        </w:tc>
        <w:tc>
          <w:tcPr>
            <w:tcW w:type="dxa" w:w="2880"/>
            <w:shd w:val="clear" w:color="auto" w:fill="EAF5EA"/>
          </w:tcPr>
          <w:p>
            <w:r/>
            <w:r>
              <w:rPr>
                <w:b w:val="0"/>
                <w:sz w:val="20"/>
              </w:rPr>
              <w:t>2026</w:t>
            </w:r>
          </w:p>
        </w:tc>
      </w:tr>
    </w:tbl>
    <w:p>
      <w:pPr>
        <w:spacing w:after="120" w:line="288" w:lineRule="auto"/>
        <w:shd w:val="clear" w:color="auto" w:fill="DEEAF6"/>
      </w:pPr>
      <w:r>
        <w:rPr>
          <w:rFonts w:ascii="Calibri" w:hAnsi="Calibri"/>
          <w:b/>
          <w:sz w:val="22"/>
        </w:rPr>
        <w:t>No new-drill hydraulic-fracturing job has ever been performed within two miles of the Caramba North tract.</w:t>
      </w:r>
      <w:r>
        <w:rPr>
          <w:rFonts w:ascii="Calibri" w:hAnsi="Calibri"/>
          <w:b w:val="0"/>
          <w:sz w:val="22"/>
        </w:rPr>
        <w:t xml:space="preserve"> Within five miles there have been 9 new-drill fracks, all between 2012 and 2015 — the most recent over a decade ago. Eight were Apache Corporation's 2012 multi-well program (FSSU wells, 2.75 – 4.85 mi out); the ninth was Flamingo Operating in 2015. Within ten miles, 28 new-drill fracks over the entire 2012 – 2025 period, the closest to the site being the 2025 Mongoose Energy Viper wells at 6.94 mi out.</w:t>
      </w:r>
    </w:p>
    <w:p>
      <w:pPr>
        <w:jc w:val="center"/>
      </w:pPr>
      <w:r>
        <w:drawing>
          <wp:inline xmlns:a="http://schemas.openxmlformats.org/drawingml/2006/main" xmlns:pic="http://schemas.openxmlformats.org/drawingml/2006/picture">
            <wp:extent cx="5486400" cy="2417548"/>
            <wp:docPr id="4" name="Picture 4"/>
            <wp:cNvGraphicFramePr>
              <a:graphicFrameLocks noChangeAspect="1"/>
            </wp:cNvGraphicFramePr>
            <a:graphic>
              <a:graphicData uri="http://schemas.openxmlformats.org/drawingml/2006/picture">
                <pic:pic>
                  <pic:nvPicPr>
                    <pic:cNvPr id="0" name="ch_fracfocus_rings.png"/>
                    <pic:cNvPicPr/>
                  </pic:nvPicPr>
                  <pic:blipFill>
                    <a:blip r:embed="rId14"/>
                    <a:stretch>
                      <a:fillRect/>
                    </a:stretch>
                  </pic:blipFill>
                  <pic:spPr>
                    <a:xfrm>
                      <a:off x="0" y="0"/>
                      <a:ext cx="5486400" cy="2417548"/>
                    </a:xfrm>
                    <a:prstGeom prst="rect"/>
                  </pic:spPr>
                </pic:pic>
              </a:graphicData>
            </a:graphic>
          </wp:inline>
        </w:drawing>
      </w:r>
    </w:p>
    <w:p>
      <w:pPr>
        <w:spacing w:after="160"/>
        <w:jc w:val="center"/>
      </w:pPr>
      <w:r>
        <w:rPr>
          <w:i/>
          <w:color w:val="404040"/>
          <w:sz w:val="18"/>
        </w:rPr>
        <w:t>New-drill fracks (FracFocus cross-referenced against the wellbore record): 0 within 2 mi (ever), 9 within 2–5 mi (all 2012–2015), 19 within 5–10 mi, 450 within 10–20 mi. Re-fracs on existing wells are excluded.</w:t>
      </w:r>
    </w:p>
    <w:p>
      <w:pPr>
        <w:spacing w:after="120" w:line="288" w:lineRule="auto"/>
      </w:pPr>
      <w:r>
        <w:rPr>
          <w:rFonts w:ascii="Calibri" w:hAnsi="Calibri"/>
          <w:b w:val="0"/>
          <w:sz w:val="22"/>
        </w:rPr>
        <w:t>The broader Permian new-drill fracking program does exist — 478 new-drill fracks within twenty miles since 2011, dominated by the deep-horizontal unconventional players (Diamondback 194, XTO/ExxonMobil 53, Gordy 45). But that activity is concentrated well outside the 10-mile buffer, almost entirely at unconventional depths, and annual volume has been declining (39 disclosed fracks in Pecos in 2023, 6 in 2024, 21 in 2025, 11 year-to-date 2026 vs. a 2018 – 2019 peak of 113 – 167/year).</w:t>
      </w:r>
    </w:p>
    <w:p>
      <w:pPr>
        <w:spacing w:after="120" w:line="288" w:lineRule="auto"/>
        <w:shd w:val="clear" w:color="auto" w:fill="DEEAF6"/>
      </w:pPr>
      <w:r>
        <w:rPr>
          <w:rFonts w:ascii="Calibri" w:hAnsi="Calibri"/>
          <w:b w:val="0"/>
          <w:sz w:val="22"/>
        </w:rPr>
        <w:t xml:space="preserve">This is direct, evidence-based confirmation of what the wellbore-and-production record already implied: </w:t>
      </w:r>
      <w:r>
        <w:rPr>
          <w:rFonts w:ascii="Calibri" w:hAnsi="Calibri"/>
          <w:b/>
          <w:sz w:val="22"/>
        </w:rPr>
        <w:t>no active new-drill hydraulic-fracturing operation is occurring at or near the Caramba North tract, and the closest disclosed new-drill frack within five miles is over a decade old.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