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D88FC" w14:textId="56C78465" w:rsidR="008E5D6E" w:rsidRPr="008E5D6E" w:rsidRDefault="008E5D6E" w:rsidP="008E5D6E">
      <w:pPr>
        <w:rPr>
          <w:rFonts w:ascii="Times New Roman" w:eastAsia="Times New Roman" w:hAnsi="Times New Roman" w:cs="Times New Roman"/>
        </w:rPr>
      </w:pPr>
      <w:r w:rsidRPr="008E5D6E">
        <w:rPr>
          <w:rFonts w:ascii="Arial" w:eastAsia="Times New Roman" w:hAnsi="Arial" w:cs="Arial"/>
          <w:color w:val="222222"/>
          <w:sz w:val="19"/>
          <w:szCs w:val="19"/>
        </w:rPr>
        <w:t>SME</w:t>
      </w:r>
      <w:r w:rsidRPr="008E5D6E">
        <w:rPr>
          <w:rFonts w:ascii="Arial" w:eastAsia="Times New Roman" w:hAnsi="Arial" w:cs="Arial"/>
          <w:color w:val="222222"/>
          <w:sz w:val="19"/>
          <w:szCs w:val="19"/>
          <w:shd w:val="clear" w:color="auto" w:fill="FFFFFF"/>
        </w:rPr>
        <w:t> </w:t>
      </w:r>
      <w:r w:rsidRPr="008E5D6E">
        <w:rPr>
          <w:rFonts w:ascii="Arial" w:eastAsia="Times New Roman" w:hAnsi="Arial" w:cs="Arial"/>
          <w:color w:val="222222"/>
          <w:sz w:val="19"/>
          <w:szCs w:val="19"/>
        </w:rPr>
        <w:t>Justification</w:t>
      </w:r>
      <w:r w:rsidRPr="008E5D6E">
        <w:rPr>
          <w:rFonts w:ascii="Arial" w:eastAsia="Times New Roman" w:hAnsi="Arial" w:cs="Arial"/>
          <w:color w:val="222222"/>
          <w:sz w:val="19"/>
          <w:szCs w:val="19"/>
          <w:shd w:val="clear" w:color="auto" w:fill="FFFFFF"/>
        </w:rPr>
        <w:t xml:space="preserve"> for </w:t>
      </w:r>
      <w:r w:rsidR="00E2121E">
        <w:rPr>
          <w:rFonts w:ascii="Arial" w:eastAsia="Times New Roman" w:hAnsi="Arial" w:cs="Arial"/>
          <w:color w:val="222222"/>
          <w:sz w:val="19"/>
          <w:szCs w:val="19"/>
          <w:shd w:val="clear" w:color="auto" w:fill="FFFFFF"/>
        </w:rPr>
        <w:t xml:space="preserve">Mr. </w:t>
      </w:r>
      <w:r w:rsidR="008B522C">
        <w:rPr>
          <w:rFonts w:ascii="Arial" w:eastAsia="Times New Roman" w:hAnsi="Arial" w:cs="Arial"/>
          <w:color w:val="222222"/>
          <w:sz w:val="19"/>
          <w:szCs w:val="19"/>
          <w:shd w:val="clear" w:color="auto" w:fill="FFFFFF"/>
        </w:rPr>
        <w:t>George Bayer</w:t>
      </w:r>
      <w:r w:rsidRPr="008E5D6E">
        <w:rPr>
          <w:rFonts w:ascii="Arial" w:eastAsia="Times New Roman" w:hAnsi="Arial" w:cs="Arial"/>
          <w:color w:val="222222"/>
          <w:sz w:val="19"/>
          <w:szCs w:val="19"/>
          <w:shd w:val="clear" w:color="auto" w:fill="FFFFFF"/>
        </w:rPr>
        <w:t>:</w:t>
      </w:r>
    </w:p>
    <w:p w14:paraId="5AFCEF5B" w14:textId="77777777" w:rsidR="008E5D6E" w:rsidRPr="008E5D6E" w:rsidRDefault="008E5D6E" w:rsidP="008E5D6E">
      <w:pPr>
        <w:rPr>
          <w:rFonts w:ascii="Arial" w:eastAsia="Times New Roman" w:hAnsi="Arial" w:cs="Arial"/>
          <w:color w:val="222222"/>
          <w:sz w:val="19"/>
          <w:szCs w:val="19"/>
        </w:rPr>
      </w:pPr>
    </w:p>
    <w:p w14:paraId="6522AAAD" w14:textId="6D5EF7B9" w:rsidR="00F453DE" w:rsidRDefault="00F453DE" w:rsidP="008B522C">
      <w:pPr>
        <w:rPr>
          <w:rFonts w:ascii="Arial" w:eastAsia="Times New Roman" w:hAnsi="Arial" w:cs="Arial"/>
          <w:color w:val="222222"/>
          <w:sz w:val="19"/>
          <w:szCs w:val="19"/>
        </w:rPr>
      </w:pPr>
      <w:r>
        <w:rPr>
          <w:rFonts w:ascii="Arial" w:eastAsia="Times New Roman" w:hAnsi="Arial" w:cs="Arial"/>
          <w:color w:val="222222"/>
          <w:sz w:val="19"/>
          <w:szCs w:val="19"/>
        </w:rPr>
        <w:t>With over 2</w:t>
      </w:r>
      <w:r w:rsidR="000F0A61">
        <w:rPr>
          <w:rFonts w:ascii="Arial" w:eastAsia="Times New Roman" w:hAnsi="Arial" w:cs="Arial"/>
          <w:color w:val="222222"/>
          <w:sz w:val="19"/>
          <w:szCs w:val="19"/>
        </w:rPr>
        <w:t>2</w:t>
      </w:r>
      <w:r>
        <w:rPr>
          <w:rFonts w:ascii="Arial" w:eastAsia="Times New Roman" w:hAnsi="Arial" w:cs="Arial"/>
          <w:color w:val="222222"/>
          <w:sz w:val="19"/>
          <w:szCs w:val="19"/>
        </w:rPr>
        <w:t xml:space="preserve"> years of progressive experience in business case analysis and 11 years of FAA experience supporting and analyzing capital investments and acquisitions, Mr. Bayer has subject matter expertise in business case analysis, investment analysis,</w:t>
      </w:r>
      <w:r w:rsidR="000F0A61">
        <w:rPr>
          <w:rFonts w:ascii="Arial" w:eastAsia="Times New Roman" w:hAnsi="Arial" w:cs="Arial"/>
          <w:color w:val="222222"/>
          <w:sz w:val="19"/>
          <w:szCs w:val="19"/>
        </w:rPr>
        <w:t xml:space="preserve"> supply chain management,</w:t>
      </w:r>
      <w:r>
        <w:rPr>
          <w:rFonts w:ascii="Arial" w:eastAsia="Times New Roman" w:hAnsi="Arial" w:cs="Arial"/>
          <w:color w:val="222222"/>
          <w:sz w:val="19"/>
          <w:szCs w:val="19"/>
        </w:rPr>
        <w:t xml:space="preserve"> and benefits quantification for major FAA capital investments.</w:t>
      </w:r>
    </w:p>
    <w:p w14:paraId="762A19A5" w14:textId="77777777" w:rsidR="002D5D34" w:rsidRDefault="002D5D34" w:rsidP="008B522C">
      <w:pPr>
        <w:rPr>
          <w:rFonts w:ascii="Arial" w:eastAsia="Times New Roman" w:hAnsi="Arial" w:cs="Arial"/>
          <w:color w:val="222222"/>
          <w:sz w:val="19"/>
          <w:szCs w:val="19"/>
        </w:rPr>
      </w:pPr>
    </w:p>
    <w:p w14:paraId="788B407D" w14:textId="6305F237" w:rsidR="008B522C" w:rsidRPr="008E5D6E" w:rsidRDefault="00E2121E" w:rsidP="008B522C">
      <w:pPr>
        <w:rPr>
          <w:rFonts w:ascii="Arial" w:eastAsia="Times New Roman" w:hAnsi="Arial" w:cs="Arial"/>
          <w:color w:val="222222"/>
          <w:sz w:val="19"/>
          <w:szCs w:val="19"/>
        </w:rPr>
      </w:pPr>
      <w:r>
        <w:rPr>
          <w:rFonts w:ascii="Arial" w:eastAsia="Times New Roman" w:hAnsi="Arial" w:cs="Arial"/>
          <w:color w:val="222222"/>
          <w:sz w:val="19"/>
          <w:szCs w:val="19"/>
        </w:rPr>
        <w:t xml:space="preserve">Mr. </w:t>
      </w:r>
      <w:r w:rsidR="008B522C">
        <w:rPr>
          <w:rFonts w:ascii="Arial" w:eastAsia="Times New Roman" w:hAnsi="Arial" w:cs="Arial"/>
          <w:color w:val="222222"/>
          <w:sz w:val="19"/>
          <w:szCs w:val="19"/>
        </w:rPr>
        <w:t>Bayer</w:t>
      </w:r>
      <w:r w:rsidR="008E5D6E" w:rsidRPr="008E5D6E">
        <w:rPr>
          <w:rFonts w:ascii="Arial" w:eastAsia="Times New Roman" w:hAnsi="Arial" w:cs="Arial"/>
          <w:color w:val="222222"/>
          <w:sz w:val="19"/>
          <w:szCs w:val="19"/>
        </w:rPr>
        <w:t xml:space="preserve"> has a Master</w:t>
      </w:r>
      <w:r w:rsidR="008513EC">
        <w:rPr>
          <w:rFonts w:ascii="Arial" w:eastAsia="Times New Roman" w:hAnsi="Arial" w:cs="Arial"/>
          <w:color w:val="222222"/>
          <w:sz w:val="19"/>
          <w:szCs w:val="19"/>
        </w:rPr>
        <w:t xml:space="preserve"> of</w:t>
      </w:r>
      <w:r w:rsidR="008E5D6E" w:rsidRPr="008E5D6E">
        <w:rPr>
          <w:rFonts w:ascii="Arial" w:eastAsia="Times New Roman" w:hAnsi="Arial" w:cs="Arial"/>
          <w:color w:val="222222"/>
          <w:sz w:val="19"/>
          <w:szCs w:val="19"/>
        </w:rPr>
        <w:t xml:space="preserve"> </w:t>
      </w:r>
      <w:r w:rsidR="008B522C">
        <w:rPr>
          <w:rFonts w:ascii="Arial" w:eastAsia="Times New Roman" w:hAnsi="Arial" w:cs="Arial"/>
          <w:color w:val="222222"/>
          <w:sz w:val="19"/>
          <w:szCs w:val="19"/>
        </w:rPr>
        <w:t>Business Administration</w:t>
      </w:r>
      <w:r w:rsidR="005714DD">
        <w:rPr>
          <w:rFonts w:ascii="Arial" w:eastAsia="Times New Roman" w:hAnsi="Arial" w:cs="Arial"/>
          <w:color w:val="222222"/>
          <w:sz w:val="19"/>
          <w:szCs w:val="19"/>
        </w:rPr>
        <w:t xml:space="preserve"> (MBA)</w:t>
      </w:r>
      <w:r w:rsidR="008513EC">
        <w:rPr>
          <w:rFonts w:ascii="Arial" w:eastAsia="Times New Roman" w:hAnsi="Arial" w:cs="Arial"/>
          <w:color w:val="222222"/>
          <w:sz w:val="19"/>
          <w:szCs w:val="19"/>
        </w:rPr>
        <w:t xml:space="preserve"> degree</w:t>
      </w:r>
      <w:r w:rsidR="008B522C">
        <w:rPr>
          <w:rFonts w:ascii="Arial" w:eastAsia="Times New Roman" w:hAnsi="Arial" w:cs="Arial"/>
          <w:color w:val="222222"/>
          <w:sz w:val="19"/>
          <w:szCs w:val="19"/>
        </w:rPr>
        <w:t xml:space="preserve"> with a concentration in Finance</w:t>
      </w:r>
      <w:r w:rsidR="000F0A61">
        <w:rPr>
          <w:rFonts w:ascii="Arial" w:eastAsia="Times New Roman" w:hAnsi="Arial" w:cs="Arial"/>
          <w:color w:val="222222"/>
          <w:sz w:val="19"/>
          <w:szCs w:val="19"/>
        </w:rPr>
        <w:t xml:space="preserve"> and</w:t>
      </w:r>
      <w:r w:rsidR="00F453DE">
        <w:rPr>
          <w:rFonts w:ascii="Arial" w:eastAsia="Times New Roman" w:hAnsi="Arial" w:cs="Arial"/>
          <w:color w:val="222222"/>
          <w:sz w:val="19"/>
          <w:szCs w:val="19"/>
        </w:rPr>
        <w:t xml:space="preserve"> 22 years of experience in Finance, business cases evaluation, cost estimation, benefits quantification and monetization, and investment analysis,</w:t>
      </w:r>
      <w:r w:rsidR="008B522C" w:rsidRPr="008B522C">
        <w:rPr>
          <w:rFonts w:ascii="Arial" w:eastAsia="Times New Roman" w:hAnsi="Arial" w:cs="Arial"/>
          <w:color w:val="222222"/>
          <w:sz w:val="19"/>
          <w:szCs w:val="19"/>
        </w:rPr>
        <w:t xml:space="preserve"> including five years in</w:t>
      </w:r>
      <w:r w:rsidR="000F0A61">
        <w:rPr>
          <w:rFonts w:ascii="Arial" w:eastAsia="Times New Roman" w:hAnsi="Arial" w:cs="Arial"/>
          <w:color w:val="222222"/>
          <w:sz w:val="19"/>
          <w:szCs w:val="19"/>
        </w:rPr>
        <w:t xml:space="preserve"> the FAA’s</w:t>
      </w:r>
      <w:r w:rsidR="008B522C" w:rsidRPr="008B522C">
        <w:rPr>
          <w:rFonts w:ascii="Arial" w:eastAsia="Times New Roman" w:hAnsi="Arial" w:cs="Arial"/>
          <w:color w:val="222222"/>
          <w:sz w:val="19"/>
          <w:szCs w:val="19"/>
        </w:rPr>
        <w:t xml:space="preserve"> Investment Planning &amp; Analysis</w:t>
      </w:r>
      <w:r w:rsidR="005714DD">
        <w:rPr>
          <w:rFonts w:ascii="Arial" w:eastAsia="Times New Roman" w:hAnsi="Arial" w:cs="Arial"/>
          <w:color w:val="222222"/>
          <w:sz w:val="19"/>
          <w:szCs w:val="19"/>
        </w:rPr>
        <w:t xml:space="preserve"> (IP&amp;A)</w:t>
      </w:r>
      <w:r w:rsidR="000F0A61">
        <w:rPr>
          <w:rFonts w:ascii="Arial" w:eastAsia="Times New Roman" w:hAnsi="Arial" w:cs="Arial"/>
          <w:color w:val="222222"/>
          <w:sz w:val="19"/>
          <w:szCs w:val="19"/>
        </w:rPr>
        <w:t xml:space="preserve"> organization</w:t>
      </w:r>
      <w:r w:rsidR="008B522C" w:rsidRPr="008B522C">
        <w:rPr>
          <w:rFonts w:ascii="Arial" w:eastAsia="Times New Roman" w:hAnsi="Arial" w:cs="Arial"/>
          <w:color w:val="222222"/>
          <w:sz w:val="19"/>
          <w:szCs w:val="19"/>
        </w:rPr>
        <w:t>.</w:t>
      </w:r>
      <w:r w:rsidR="005714DD">
        <w:rPr>
          <w:rFonts w:ascii="Arial" w:eastAsia="Times New Roman" w:hAnsi="Arial" w:cs="Arial"/>
          <w:color w:val="222222"/>
          <w:sz w:val="19"/>
          <w:szCs w:val="19"/>
        </w:rPr>
        <w:t xml:space="preserve"> </w:t>
      </w:r>
      <w:r w:rsidR="008B522C" w:rsidRPr="008B522C">
        <w:rPr>
          <w:rFonts w:ascii="Arial" w:eastAsia="Times New Roman" w:hAnsi="Arial" w:cs="Arial"/>
          <w:color w:val="222222"/>
          <w:sz w:val="19"/>
          <w:szCs w:val="19"/>
        </w:rPr>
        <w:t xml:space="preserve"> Mr. Bayer directed teams</w:t>
      </w:r>
      <w:r w:rsidR="000F0A61">
        <w:rPr>
          <w:rFonts w:ascii="Arial" w:eastAsia="Times New Roman" w:hAnsi="Arial" w:cs="Arial"/>
          <w:color w:val="222222"/>
          <w:sz w:val="19"/>
          <w:szCs w:val="19"/>
        </w:rPr>
        <w:t>, designing</w:t>
      </w:r>
      <w:r w:rsidR="008B522C" w:rsidRPr="008B522C">
        <w:rPr>
          <w:rFonts w:ascii="Arial" w:eastAsia="Times New Roman" w:hAnsi="Arial" w:cs="Arial"/>
          <w:color w:val="222222"/>
          <w:sz w:val="19"/>
          <w:szCs w:val="19"/>
        </w:rPr>
        <w:t xml:space="preserve"> </w:t>
      </w:r>
      <w:r w:rsidR="008B522C" w:rsidRPr="008B522C">
        <w:rPr>
          <w:rFonts w:ascii="Arial" w:hAnsi="Arial" w:cs="Arial"/>
          <w:bCs/>
          <w:sz w:val="19"/>
          <w:szCs w:val="19"/>
        </w:rPr>
        <w:t>program requirements, developing Life Cycle Cost Estimates (LCCEs) and Independent Government Cost Estimates (IGCEs), preparing statements of work, leading and evaluating market surveys, creating investment analysis and implementation schedules, and quantifying benefits and shortfalls for the following major capital investments for the Federal Aviation Administration (FAA)</w:t>
      </w:r>
      <w:r w:rsidR="008B522C">
        <w:rPr>
          <w:rFonts w:ascii="Arial" w:hAnsi="Arial" w:cs="Arial"/>
          <w:bCs/>
          <w:sz w:val="19"/>
          <w:szCs w:val="19"/>
        </w:rPr>
        <w:t>:</w:t>
      </w:r>
      <w:r w:rsidR="008B522C" w:rsidRPr="008B522C">
        <w:rPr>
          <w:rFonts w:ascii="Arial" w:eastAsia="Times New Roman" w:hAnsi="Arial" w:cs="Arial"/>
          <w:color w:val="222222"/>
          <w:sz w:val="19"/>
          <w:szCs w:val="19"/>
        </w:rPr>
        <w:t xml:space="preserve"> </w:t>
      </w:r>
    </w:p>
    <w:p w14:paraId="085AE0EA"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Automation Maintenance Management System (AMMS)</w:t>
      </w:r>
    </w:p>
    <w:p w14:paraId="21732C0E"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Configuration Management Automation (CMA)</w:t>
      </w:r>
    </w:p>
    <w:p w14:paraId="5A6DCDA8"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Logistics Center Supply System (LCSS)</w:t>
      </w:r>
    </w:p>
    <w:p w14:paraId="41778531"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Time Based Flow Management (TBFM) Enhancements 1 &amp; 2</w:t>
      </w:r>
    </w:p>
    <w:p w14:paraId="213D7681"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NAS Voice Recorder Program (NVRP)</w:t>
      </w:r>
    </w:p>
    <w:p w14:paraId="4DF7F433"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iCs/>
          <w:sz w:val="19"/>
          <w:szCs w:val="19"/>
        </w:rPr>
        <w:t>NAS Voice Switch (NVS)</w:t>
      </w:r>
    </w:p>
    <w:p w14:paraId="3C60315A"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Tech Ops Facilities</w:t>
      </w:r>
    </w:p>
    <w:p w14:paraId="515227F4"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Data Communications (Data Comm)</w:t>
      </w:r>
    </w:p>
    <w:p w14:paraId="57D3A8CF"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Advanced Technologies &amp; Oceanic Procedures (ATOP)</w:t>
      </w:r>
    </w:p>
    <w:p w14:paraId="6DFFFFFD"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Flight Start</w:t>
      </w:r>
    </w:p>
    <w:p w14:paraId="110C713E"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Wind &amp; Wave Evacuation Survival Facility (WIWAVES)</w:t>
      </w:r>
    </w:p>
    <w:p w14:paraId="4E2E34A6" w14:textId="69B06437" w:rsidR="00425D00" w:rsidRPr="00CC6113"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Enterprise Information Display System (E-IDS)</w:t>
      </w:r>
    </w:p>
    <w:p w14:paraId="2F017257" w14:textId="461B946C" w:rsidR="00CC6113" w:rsidRPr="00314ECE" w:rsidRDefault="00CC6113" w:rsidP="00425D00">
      <w:pPr>
        <w:pStyle w:val="ListParagraph"/>
        <w:numPr>
          <w:ilvl w:val="1"/>
          <w:numId w:val="1"/>
        </w:numPr>
        <w:rPr>
          <w:rFonts w:ascii="Arial" w:hAnsi="Arial" w:cs="Arial"/>
          <w:bCs/>
          <w:iCs/>
          <w:sz w:val="19"/>
          <w:szCs w:val="19"/>
        </w:rPr>
      </w:pPr>
      <w:r>
        <w:rPr>
          <w:rFonts w:ascii="Arial" w:hAnsi="Arial" w:cs="Arial"/>
          <w:bCs/>
          <w:sz w:val="19"/>
          <w:szCs w:val="19"/>
        </w:rPr>
        <w:t>Integrated Display System Replacement (IDSR)</w:t>
      </w:r>
    </w:p>
    <w:p w14:paraId="7F2B1A05" w14:textId="22FFE62E" w:rsidR="008B522C"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Operational Analysis &amp; Reporting System (OARS)</w:t>
      </w:r>
    </w:p>
    <w:p w14:paraId="4129F15C" w14:textId="77777777" w:rsidR="00314ECE" w:rsidRPr="00314ECE" w:rsidRDefault="00314ECE" w:rsidP="00425D00">
      <w:pPr>
        <w:pStyle w:val="BodyTextIndent"/>
        <w:tabs>
          <w:tab w:val="clear" w:pos="1800"/>
          <w:tab w:val="clear" w:pos="9360"/>
          <w:tab w:val="right" w:pos="9900"/>
        </w:tabs>
        <w:ind w:left="0"/>
        <w:rPr>
          <w:rFonts w:ascii="Arial" w:hAnsi="Arial" w:cs="Arial"/>
          <w:bCs/>
          <w:sz w:val="19"/>
          <w:szCs w:val="19"/>
        </w:rPr>
      </w:pPr>
    </w:p>
    <w:p w14:paraId="62AECA96" w14:textId="6FA0CE06" w:rsidR="00F453DE" w:rsidRPr="00F453DE" w:rsidRDefault="00F453DE" w:rsidP="00425D00">
      <w:pPr>
        <w:pStyle w:val="BodyTextIndent"/>
        <w:tabs>
          <w:tab w:val="clear" w:pos="1800"/>
          <w:tab w:val="clear" w:pos="9360"/>
          <w:tab w:val="right" w:pos="9900"/>
        </w:tabs>
        <w:ind w:left="0"/>
        <w:rPr>
          <w:rFonts w:ascii="Arial" w:hAnsi="Arial" w:cs="Arial"/>
          <w:b/>
          <w:sz w:val="19"/>
          <w:szCs w:val="19"/>
        </w:rPr>
      </w:pPr>
      <w:r>
        <w:rPr>
          <w:rFonts w:ascii="Arial" w:hAnsi="Arial" w:cs="Arial"/>
          <w:b/>
          <w:sz w:val="19"/>
          <w:szCs w:val="19"/>
        </w:rPr>
        <w:t>Technical Knowledge</w:t>
      </w:r>
    </w:p>
    <w:p w14:paraId="05CB27F1" w14:textId="291FD6BF" w:rsidR="00425D00" w:rsidRPr="00314ECE" w:rsidRDefault="00425D00" w:rsidP="00425D00">
      <w:pPr>
        <w:pStyle w:val="BodyTextIndent"/>
        <w:tabs>
          <w:tab w:val="clear" w:pos="1800"/>
          <w:tab w:val="clear" w:pos="9360"/>
          <w:tab w:val="right" w:pos="9900"/>
        </w:tabs>
        <w:ind w:left="0"/>
        <w:rPr>
          <w:rFonts w:ascii="Arial" w:hAnsi="Arial" w:cs="Arial"/>
          <w:bCs/>
          <w:sz w:val="19"/>
          <w:szCs w:val="19"/>
        </w:rPr>
      </w:pPr>
      <w:r w:rsidRPr="00314ECE">
        <w:rPr>
          <w:rFonts w:ascii="Arial" w:hAnsi="Arial" w:cs="Arial"/>
          <w:bCs/>
          <w:sz w:val="19"/>
          <w:szCs w:val="19"/>
        </w:rPr>
        <w:t>In his FAA program support roles for E-IDS, NVR-P, OARS, and AMMS, Mr. Bayer developed innovative</w:t>
      </w:r>
      <w:r w:rsidR="00F453DE">
        <w:rPr>
          <w:rFonts w:ascii="Arial" w:hAnsi="Arial" w:cs="Arial"/>
          <w:bCs/>
          <w:sz w:val="19"/>
          <w:szCs w:val="19"/>
        </w:rPr>
        <w:t>, technical</w:t>
      </w:r>
      <w:r w:rsidRPr="00314ECE">
        <w:rPr>
          <w:rFonts w:ascii="Arial" w:hAnsi="Arial" w:cs="Arial"/>
          <w:bCs/>
          <w:sz w:val="19"/>
          <w:szCs w:val="19"/>
        </w:rPr>
        <w:t xml:space="preserve"> quantifiable solutions to support FAA clients for agency strategic initiatives, including infrastructure sustainment, critical part failure analyses, decision tree portfolio analyses, value stream analyses, and integrated supply chain optimization strategy</w:t>
      </w:r>
      <w:r w:rsidR="00F453DE">
        <w:rPr>
          <w:rFonts w:ascii="Arial" w:hAnsi="Arial" w:cs="Arial"/>
          <w:bCs/>
          <w:sz w:val="19"/>
          <w:szCs w:val="19"/>
        </w:rPr>
        <w:t xml:space="preserve">. These types of very specific analyses require both technical knowledge of benefits </w:t>
      </w:r>
      <w:r w:rsidR="000F0A61">
        <w:rPr>
          <w:rFonts w:ascii="Arial" w:hAnsi="Arial" w:cs="Arial"/>
          <w:bCs/>
          <w:sz w:val="19"/>
          <w:szCs w:val="19"/>
        </w:rPr>
        <w:t>and business case analysis methodology, a deep understanding of the integrated supply chain, extensive attention to detail, and the technical ability to define shortfalls, develop viable solutions, and determine outcomes.</w:t>
      </w:r>
      <w:r w:rsidR="00F453DE">
        <w:rPr>
          <w:rFonts w:ascii="Arial" w:hAnsi="Arial" w:cs="Arial"/>
          <w:bCs/>
          <w:sz w:val="19"/>
          <w:szCs w:val="19"/>
        </w:rPr>
        <w:t xml:space="preserve"> </w:t>
      </w:r>
    </w:p>
    <w:p w14:paraId="5B20E588" w14:textId="3C8B6F88" w:rsidR="00425D00" w:rsidRPr="00314ECE" w:rsidRDefault="00425D00" w:rsidP="00425D00">
      <w:pPr>
        <w:pStyle w:val="BodyTextIndent"/>
        <w:tabs>
          <w:tab w:val="clear" w:pos="1800"/>
          <w:tab w:val="clear" w:pos="9360"/>
          <w:tab w:val="right" w:pos="9900"/>
        </w:tabs>
        <w:ind w:left="0"/>
        <w:rPr>
          <w:rFonts w:ascii="Arial" w:hAnsi="Arial" w:cs="Arial"/>
          <w:bCs/>
          <w:sz w:val="19"/>
          <w:szCs w:val="19"/>
        </w:rPr>
      </w:pPr>
    </w:p>
    <w:p w14:paraId="4C427D3C" w14:textId="3FA8BE81" w:rsidR="00314ECE" w:rsidRPr="00314ECE" w:rsidRDefault="008513EC" w:rsidP="00425D00">
      <w:pPr>
        <w:pStyle w:val="BodyTextIndent"/>
        <w:tabs>
          <w:tab w:val="clear" w:pos="1800"/>
          <w:tab w:val="clear" w:pos="9360"/>
          <w:tab w:val="right" w:pos="9900"/>
        </w:tabs>
        <w:ind w:left="0"/>
        <w:rPr>
          <w:rFonts w:ascii="Arial" w:hAnsi="Arial" w:cs="Arial"/>
          <w:bCs/>
          <w:sz w:val="19"/>
          <w:szCs w:val="19"/>
        </w:rPr>
      </w:pPr>
      <w:r>
        <w:rPr>
          <w:rFonts w:ascii="Arial" w:hAnsi="Arial" w:cs="Arial"/>
          <w:bCs/>
          <w:sz w:val="19"/>
          <w:szCs w:val="19"/>
        </w:rPr>
        <w:t>While preparing for deployment of the ACAT 1 E-IDS program, h</w:t>
      </w:r>
      <w:r w:rsidR="00314ECE" w:rsidRPr="00314ECE">
        <w:rPr>
          <w:rFonts w:ascii="Arial" w:hAnsi="Arial" w:cs="Arial"/>
          <w:bCs/>
          <w:sz w:val="19"/>
          <w:szCs w:val="19"/>
        </w:rPr>
        <w:t xml:space="preserve">is sustainment analyses and legacy system failure projections helped AJM-22 determine legacy </w:t>
      </w:r>
      <w:r>
        <w:rPr>
          <w:rFonts w:ascii="Arial" w:hAnsi="Arial" w:cs="Arial"/>
          <w:bCs/>
          <w:sz w:val="19"/>
          <w:szCs w:val="19"/>
        </w:rPr>
        <w:t>system</w:t>
      </w:r>
      <w:r w:rsidR="00314ECE" w:rsidRPr="00314ECE">
        <w:rPr>
          <w:rFonts w:ascii="Arial" w:hAnsi="Arial" w:cs="Arial"/>
          <w:bCs/>
          <w:sz w:val="19"/>
          <w:szCs w:val="19"/>
        </w:rPr>
        <w:t xml:space="preserve"> end-of-life and project inventory depletion for critical parts </w:t>
      </w:r>
      <w:r>
        <w:rPr>
          <w:rFonts w:ascii="Arial" w:hAnsi="Arial" w:cs="Arial"/>
          <w:bCs/>
          <w:sz w:val="19"/>
          <w:szCs w:val="19"/>
        </w:rPr>
        <w:t xml:space="preserve">to </w:t>
      </w:r>
      <w:r w:rsidR="00314ECE" w:rsidRPr="00314ECE">
        <w:rPr>
          <w:rFonts w:ascii="Arial" w:hAnsi="Arial" w:cs="Arial"/>
          <w:bCs/>
          <w:sz w:val="19"/>
          <w:szCs w:val="19"/>
        </w:rPr>
        <w:t>help prevent loss of service of a critical infrastructure system with lifecycle operations cost of $950M.</w:t>
      </w:r>
    </w:p>
    <w:p w14:paraId="17DD1CCE" w14:textId="77777777" w:rsidR="00314ECE" w:rsidRPr="00314ECE" w:rsidRDefault="00314ECE" w:rsidP="00425D00">
      <w:pPr>
        <w:pStyle w:val="BodyTextIndent"/>
        <w:tabs>
          <w:tab w:val="clear" w:pos="1800"/>
          <w:tab w:val="clear" w:pos="9360"/>
          <w:tab w:val="right" w:pos="9900"/>
        </w:tabs>
        <w:ind w:left="0"/>
        <w:rPr>
          <w:rFonts w:ascii="Arial" w:hAnsi="Arial" w:cs="Arial"/>
          <w:bCs/>
          <w:sz w:val="19"/>
          <w:szCs w:val="19"/>
        </w:rPr>
      </w:pPr>
    </w:p>
    <w:p w14:paraId="590ACCA4" w14:textId="59C41A26" w:rsidR="00314ECE" w:rsidRPr="00B94EF7" w:rsidRDefault="00425D00" w:rsidP="00425D00">
      <w:pPr>
        <w:pStyle w:val="BodyTextIndent"/>
        <w:tabs>
          <w:tab w:val="clear" w:pos="1800"/>
          <w:tab w:val="clear" w:pos="9360"/>
          <w:tab w:val="right" w:pos="9900"/>
        </w:tabs>
        <w:ind w:left="0"/>
        <w:rPr>
          <w:rFonts w:ascii="Arial" w:hAnsi="Arial" w:cs="Arial"/>
          <w:bCs/>
          <w:sz w:val="19"/>
          <w:szCs w:val="19"/>
        </w:rPr>
      </w:pPr>
      <w:r w:rsidRPr="00314ECE">
        <w:rPr>
          <w:rFonts w:ascii="Arial" w:hAnsi="Arial" w:cs="Arial"/>
          <w:bCs/>
          <w:sz w:val="19"/>
          <w:szCs w:val="19"/>
        </w:rPr>
        <w:t>For the LCSS program, while in Investment Planning &amp; Analysis</w:t>
      </w:r>
      <w:r w:rsidR="00314ECE">
        <w:rPr>
          <w:rFonts w:ascii="Arial" w:hAnsi="Arial" w:cs="Arial"/>
          <w:bCs/>
          <w:sz w:val="19"/>
          <w:szCs w:val="19"/>
        </w:rPr>
        <w:t xml:space="preserve"> (IP&amp;A)</w:t>
      </w:r>
      <w:r w:rsidRPr="00314ECE">
        <w:rPr>
          <w:rFonts w:ascii="Arial" w:hAnsi="Arial" w:cs="Arial"/>
          <w:bCs/>
          <w:sz w:val="19"/>
          <w:szCs w:val="19"/>
        </w:rPr>
        <w:t>, Mr. Bayer developed a portfolio decision tree analysis to depict the future integration of logistics, maintenance, and configuration management systems into an integrated maintenance and supply system and to quantify program and portfolio benefits to help the FAA achieve KPI and ConOps goals of Reliability Centered Maintenance</w:t>
      </w:r>
      <w:r w:rsidR="00314ECE" w:rsidRPr="00314ECE">
        <w:rPr>
          <w:rFonts w:ascii="Arial" w:hAnsi="Arial" w:cs="Arial"/>
          <w:bCs/>
          <w:sz w:val="19"/>
          <w:szCs w:val="19"/>
        </w:rPr>
        <w:t xml:space="preserve"> (RCM) and Predictive Maintenance. When realized, those benefits exceeded $1B in operations savings over a 20-year lifecycle.</w:t>
      </w:r>
    </w:p>
    <w:p w14:paraId="1B362857" w14:textId="77777777" w:rsidR="00314ECE" w:rsidRPr="00B94EF7" w:rsidRDefault="00314ECE" w:rsidP="00425D00">
      <w:pPr>
        <w:pStyle w:val="BodyTextIndent"/>
        <w:tabs>
          <w:tab w:val="clear" w:pos="1800"/>
          <w:tab w:val="clear" w:pos="9360"/>
          <w:tab w:val="right" w:pos="9900"/>
        </w:tabs>
        <w:ind w:left="0"/>
        <w:rPr>
          <w:rFonts w:ascii="Arial" w:hAnsi="Arial" w:cs="Arial"/>
          <w:bCs/>
          <w:sz w:val="19"/>
          <w:szCs w:val="19"/>
        </w:rPr>
      </w:pPr>
    </w:p>
    <w:p w14:paraId="57C00CC9" w14:textId="380C0F60" w:rsidR="00314ECE" w:rsidRPr="00B94EF7" w:rsidRDefault="00314ECE" w:rsidP="00425D00">
      <w:pPr>
        <w:pStyle w:val="BodyTextIndent"/>
        <w:tabs>
          <w:tab w:val="clear" w:pos="1800"/>
          <w:tab w:val="clear" w:pos="9360"/>
          <w:tab w:val="right" w:pos="9900"/>
        </w:tabs>
        <w:ind w:left="0"/>
        <w:rPr>
          <w:rFonts w:ascii="Arial" w:hAnsi="Arial" w:cs="Arial"/>
          <w:bCs/>
          <w:sz w:val="19"/>
          <w:szCs w:val="19"/>
        </w:rPr>
      </w:pPr>
      <w:r w:rsidRPr="00B94EF7">
        <w:rPr>
          <w:rFonts w:ascii="Arial" w:hAnsi="Arial" w:cs="Arial"/>
          <w:bCs/>
          <w:sz w:val="19"/>
          <w:szCs w:val="19"/>
        </w:rPr>
        <w:t>In addition to the program office cost/benefit analyses, technical sustainment analyses, portfolio and value stream analyses, business case development, and optimization strategies in the PMO, Mr. Bayer evaluated over 1</w:t>
      </w:r>
      <w:r w:rsidR="00CC6113" w:rsidRPr="00B94EF7">
        <w:rPr>
          <w:rFonts w:ascii="Arial" w:hAnsi="Arial" w:cs="Arial"/>
          <w:bCs/>
          <w:sz w:val="19"/>
          <w:szCs w:val="19"/>
        </w:rPr>
        <w:t>2</w:t>
      </w:r>
      <w:r w:rsidRPr="00B94EF7">
        <w:rPr>
          <w:rFonts w:ascii="Arial" w:hAnsi="Arial" w:cs="Arial"/>
          <w:bCs/>
          <w:sz w:val="19"/>
          <w:szCs w:val="19"/>
        </w:rPr>
        <w:t xml:space="preserve"> FAA business cases and acquisitions while a Business Case Lead in IP&amp;A including the following:</w:t>
      </w:r>
    </w:p>
    <w:p w14:paraId="5F20737D" w14:textId="039DA935"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Wake Turbulence Mitigation for Departures (WTMD)</w:t>
      </w:r>
    </w:p>
    <w:p w14:paraId="5271059C" w14:textId="19D93813"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NVS</w:t>
      </w:r>
    </w:p>
    <w:p w14:paraId="3D48EB46" w14:textId="00CD672F"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Nexcom</w:t>
      </w:r>
    </w:p>
    <w:p w14:paraId="62FC2E88" w14:textId="3140DAD6"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AIMM</w:t>
      </w:r>
    </w:p>
    <w:p w14:paraId="201804B5" w14:textId="2B122D43"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RMLS Tech Refresh</w:t>
      </w:r>
    </w:p>
    <w:p w14:paraId="735F1D7B" w14:textId="44924671"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National Test Equipment (NTEP)</w:t>
      </w:r>
    </w:p>
    <w:p w14:paraId="3AA544AD" w14:textId="3F92D25D"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lastRenderedPageBreak/>
        <w:t>Mobile Asset Management Program (MAMP)</w:t>
      </w:r>
    </w:p>
    <w:p w14:paraId="7E9D133F" w14:textId="78BA9891"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Mobile Airport Surveillance Radar (MASR)</w:t>
      </w:r>
    </w:p>
    <w:p w14:paraId="297BE278" w14:textId="39ED2925"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Logistics Center Supply System (LCSS)</w:t>
      </w:r>
    </w:p>
    <w:p w14:paraId="5A504329" w14:textId="2BE4FB6D" w:rsidR="00314ECE" w:rsidRPr="00B94EF7" w:rsidRDefault="00CC6113"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Data Communications</w:t>
      </w:r>
    </w:p>
    <w:p w14:paraId="0A8E51C7" w14:textId="7834C4F4" w:rsidR="00CC6113" w:rsidRPr="00B94EF7" w:rsidRDefault="00CC6113"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Joint Procedures Automation Management System (JPAMS)</w:t>
      </w:r>
    </w:p>
    <w:p w14:paraId="1B74C4D8" w14:textId="72C34174" w:rsidR="00CC6113" w:rsidRPr="00B94EF7" w:rsidRDefault="00CC6113"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2-Dimensional Bar Coding (2DBC)</w:t>
      </w:r>
    </w:p>
    <w:p w14:paraId="62A12A1A" w14:textId="148919A0" w:rsidR="00425D00" w:rsidRDefault="00425D00" w:rsidP="00425D00">
      <w:pPr>
        <w:pStyle w:val="BodyTextIndent"/>
        <w:tabs>
          <w:tab w:val="clear" w:pos="1800"/>
          <w:tab w:val="clear" w:pos="9360"/>
          <w:tab w:val="right" w:pos="9900"/>
        </w:tabs>
        <w:ind w:left="0"/>
        <w:rPr>
          <w:rFonts w:ascii="Times New Roman" w:hAnsi="Times New Roman"/>
          <w:bCs/>
          <w:szCs w:val="22"/>
        </w:rPr>
      </w:pPr>
    </w:p>
    <w:p w14:paraId="1EC4127C" w14:textId="659D72B7" w:rsidR="002D5D34" w:rsidRDefault="00CC6113" w:rsidP="00425D00">
      <w:pPr>
        <w:pStyle w:val="BodyTextIndent"/>
        <w:tabs>
          <w:tab w:val="clear" w:pos="1800"/>
          <w:tab w:val="clear" w:pos="9360"/>
          <w:tab w:val="right" w:pos="9900"/>
        </w:tabs>
        <w:ind w:left="0"/>
        <w:rPr>
          <w:rFonts w:ascii="Arial" w:hAnsi="Arial" w:cs="Arial"/>
          <w:bCs/>
          <w:sz w:val="19"/>
          <w:szCs w:val="19"/>
        </w:rPr>
      </w:pPr>
      <w:r w:rsidRPr="00314ECE">
        <w:rPr>
          <w:rFonts w:ascii="Arial" w:hAnsi="Arial" w:cs="Arial"/>
          <w:bCs/>
          <w:sz w:val="19"/>
          <w:szCs w:val="19"/>
        </w:rPr>
        <w:t xml:space="preserve">In his current role </w:t>
      </w:r>
      <w:r w:rsidR="009E1A97">
        <w:rPr>
          <w:rFonts w:ascii="Arial" w:hAnsi="Arial" w:cs="Arial"/>
          <w:bCs/>
          <w:sz w:val="19"/>
          <w:szCs w:val="19"/>
        </w:rPr>
        <w:t xml:space="preserve">as the lead benefits analyst </w:t>
      </w:r>
      <w:r w:rsidRPr="00314ECE">
        <w:rPr>
          <w:rFonts w:ascii="Arial" w:hAnsi="Arial" w:cs="Arial"/>
          <w:bCs/>
          <w:sz w:val="19"/>
          <w:szCs w:val="19"/>
        </w:rPr>
        <w:t>for the CLMRS programs, including AMMS</w:t>
      </w:r>
      <w:r w:rsidR="009E1A97">
        <w:rPr>
          <w:rFonts w:ascii="Arial" w:hAnsi="Arial" w:cs="Arial"/>
          <w:bCs/>
          <w:sz w:val="19"/>
          <w:szCs w:val="19"/>
        </w:rPr>
        <w:t>, CMA, and LCSS</w:t>
      </w:r>
      <w:r w:rsidRPr="00314ECE">
        <w:rPr>
          <w:rFonts w:ascii="Arial" w:hAnsi="Arial" w:cs="Arial"/>
          <w:bCs/>
          <w:sz w:val="19"/>
          <w:szCs w:val="19"/>
        </w:rPr>
        <w:t xml:space="preserve">, Mr. Bayer is </w:t>
      </w:r>
      <w:r w:rsidR="009E1A97" w:rsidRPr="008E5D6E">
        <w:rPr>
          <w:rFonts w:ascii="Arial" w:hAnsi="Arial" w:cs="Arial"/>
          <w:color w:val="222222"/>
          <w:sz w:val="19"/>
          <w:szCs w:val="19"/>
        </w:rPr>
        <w:t xml:space="preserve">responsible for </w:t>
      </w:r>
      <w:r w:rsidR="009E1A97">
        <w:rPr>
          <w:rFonts w:ascii="Arial" w:hAnsi="Arial" w:cs="Arial"/>
          <w:color w:val="222222"/>
          <w:sz w:val="19"/>
          <w:szCs w:val="19"/>
        </w:rPr>
        <w:t>identifying and evaluating program and portfolio shortfalls</w:t>
      </w:r>
      <w:r w:rsidR="00CC3247">
        <w:rPr>
          <w:rFonts w:ascii="Arial" w:hAnsi="Arial" w:cs="Arial"/>
          <w:color w:val="222222"/>
          <w:sz w:val="19"/>
          <w:szCs w:val="19"/>
        </w:rPr>
        <w:t>, mapping portfolio value streams,</w:t>
      </w:r>
      <w:r w:rsidR="009E1A97">
        <w:rPr>
          <w:rFonts w:ascii="Arial" w:hAnsi="Arial" w:cs="Arial"/>
          <w:color w:val="222222"/>
          <w:sz w:val="19"/>
          <w:szCs w:val="19"/>
        </w:rPr>
        <w:t xml:space="preserve"> and quantifying program benefits that are aligned with </w:t>
      </w:r>
      <w:r w:rsidR="009E1A97" w:rsidRPr="008E5D6E">
        <w:rPr>
          <w:rFonts w:ascii="Arial" w:hAnsi="Arial" w:cs="Arial"/>
          <w:color w:val="222222"/>
          <w:sz w:val="19"/>
          <w:szCs w:val="19"/>
        </w:rPr>
        <w:t>the FAA’s performance</w:t>
      </w:r>
      <w:r w:rsidR="009E1A97">
        <w:rPr>
          <w:rFonts w:ascii="Arial" w:hAnsi="Arial" w:cs="Arial"/>
          <w:color w:val="222222"/>
          <w:sz w:val="19"/>
          <w:szCs w:val="19"/>
        </w:rPr>
        <w:t xml:space="preserve"> goals.</w:t>
      </w:r>
      <w:r w:rsidR="002D5D34">
        <w:rPr>
          <w:rFonts w:ascii="Arial" w:hAnsi="Arial" w:cs="Arial"/>
          <w:bCs/>
          <w:sz w:val="19"/>
          <w:szCs w:val="19"/>
        </w:rPr>
        <w:t xml:space="preserve"> </w:t>
      </w:r>
      <w:r w:rsidR="009E1A97">
        <w:rPr>
          <w:rFonts w:ascii="Arial" w:hAnsi="Arial" w:cs="Arial"/>
          <w:bCs/>
          <w:sz w:val="19"/>
          <w:szCs w:val="19"/>
        </w:rPr>
        <w:t xml:space="preserve">For AMMS, he is </w:t>
      </w:r>
      <w:r w:rsidR="009E1A97" w:rsidRPr="00314ECE">
        <w:rPr>
          <w:rFonts w:ascii="Arial" w:hAnsi="Arial" w:cs="Arial"/>
          <w:bCs/>
          <w:sz w:val="19"/>
          <w:szCs w:val="19"/>
        </w:rPr>
        <w:t>quantifying both AMMS Maintenance Event Value Stream efficiencies, helping to reduce the time of unscheduled NAS outages, and the integrated supply chain benefits of linking maintenance and supply, conducting predictive analysis, and reducing field inventory.</w:t>
      </w:r>
      <w:r w:rsidR="005E167E">
        <w:rPr>
          <w:rFonts w:ascii="Arial" w:hAnsi="Arial" w:cs="Arial"/>
          <w:bCs/>
          <w:sz w:val="19"/>
          <w:szCs w:val="19"/>
        </w:rPr>
        <w:t xml:space="preserve"> For these business cases, Mr. Bayer quantifies </w:t>
      </w:r>
      <w:r w:rsidR="005E167E">
        <w:rPr>
          <w:rFonts w:ascii="Arial" w:hAnsi="Arial" w:cs="Arial"/>
          <w:color w:val="222222"/>
          <w:sz w:val="19"/>
          <w:szCs w:val="19"/>
        </w:rPr>
        <w:t>program and portfolio benefits in terms of operational efficiencies, cost savings, new capabilities, increases in quantity, quality, and safety in the NAS.</w:t>
      </w:r>
    </w:p>
    <w:p w14:paraId="054886E0" w14:textId="4A6AEF2E" w:rsidR="004C0E66" w:rsidRDefault="004C0E66" w:rsidP="00425D00">
      <w:pPr>
        <w:pStyle w:val="BodyTextIndent"/>
        <w:tabs>
          <w:tab w:val="clear" w:pos="1800"/>
          <w:tab w:val="clear" w:pos="9360"/>
          <w:tab w:val="right" w:pos="9900"/>
        </w:tabs>
        <w:ind w:left="0"/>
        <w:rPr>
          <w:rFonts w:ascii="Arial" w:hAnsi="Arial" w:cs="Arial"/>
          <w:bCs/>
          <w:sz w:val="19"/>
          <w:szCs w:val="19"/>
        </w:rPr>
      </w:pPr>
    </w:p>
    <w:p w14:paraId="0692FDB9" w14:textId="56A2D462" w:rsidR="005E167E" w:rsidRPr="005E167E" w:rsidRDefault="005E167E" w:rsidP="00425D00">
      <w:pPr>
        <w:pStyle w:val="BodyTextIndent"/>
        <w:tabs>
          <w:tab w:val="clear" w:pos="1800"/>
          <w:tab w:val="clear" w:pos="9360"/>
          <w:tab w:val="right" w:pos="9900"/>
        </w:tabs>
        <w:ind w:left="0"/>
        <w:rPr>
          <w:rFonts w:ascii="Arial" w:hAnsi="Arial" w:cs="Arial"/>
          <w:b/>
          <w:sz w:val="19"/>
          <w:szCs w:val="19"/>
        </w:rPr>
      </w:pPr>
      <w:r>
        <w:rPr>
          <w:rFonts w:ascii="Arial" w:hAnsi="Arial" w:cs="Arial"/>
          <w:b/>
          <w:sz w:val="19"/>
          <w:szCs w:val="19"/>
        </w:rPr>
        <w:t>Technical Reports and Papers</w:t>
      </w:r>
    </w:p>
    <w:p w14:paraId="6D45AB58" w14:textId="7BC31895" w:rsidR="00854E8F" w:rsidRDefault="004C0E66" w:rsidP="00425D00">
      <w:pPr>
        <w:pStyle w:val="BodyTextIndent"/>
        <w:tabs>
          <w:tab w:val="clear" w:pos="1800"/>
          <w:tab w:val="clear" w:pos="9360"/>
          <w:tab w:val="right" w:pos="9900"/>
        </w:tabs>
        <w:ind w:left="0"/>
        <w:rPr>
          <w:rFonts w:ascii="Arial" w:hAnsi="Arial" w:cs="Arial"/>
          <w:bCs/>
          <w:sz w:val="19"/>
          <w:szCs w:val="19"/>
        </w:rPr>
      </w:pPr>
      <w:r>
        <w:rPr>
          <w:rFonts w:ascii="Arial" w:hAnsi="Arial" w:cs="Arial"/>
          <w:bCs/>
          <w:sz w:val="19"/>
          <w:szCs w:val="19"/>
        </w:rPr>
        <w:t xml:space="preserve">Mr. Bayer designed and prepared technical reports, writing authoritative papers on (1) portfolio value for government capital investments, (2) using innovative techniques to quantify portfolio value in business cases, and </w:t>
      </w:r>
      <w:r w:rsidR="00854E8F">
        <w:rPr>
          <w:rFonts w:ascii="Arial" w:hAnsi="Arial" w:cs="Arial"/>
          <w:bCs/>
          <w:sz w:val="19"/>
          <w:szCs w:val="19"/>
        </w:rPr>
        <w:t xml:space="preserve">(3) </w:t>
      </w:r>
      <w:r>
        <w:rPr>
          <w:rFonts w:ascii="Arial" w:hAnsi="Arial" w:cs="Arial"/>
          <w:bCs/>
          <w:sz w:val="19"/>
          <w:szCs w:val="19"/>
        </w:rPr>
        <w:t>analyzing</w:t>
      </w:r>
      <w:r w:rsidR="00854E8F">
        <w:rPr>
          <w:rFonts w:ascii="Arial" w:hAnsi="Arial" w:cs="Arial"/>
          <w:bCs/>
          <w:sz w:val="19"/>
          <w:szCs w:val="19"/>
        </w:rPr>
        <w:t xml:space="preserve"> failure</w:t>
      </w:r>
      <w:r>
        <w:rPr>
          <w:rFonts w:ascii="Arial" w:hAnsi="Arial" w:cs="Arial"/>
          <w:bCs/>
          <w:sz w:val="19"/>
          <w:szCs w:val="19"/>
        </w:rPr>
        <w:t xml:space="preserve"> data </w:t>
      </w:r>
      <w:r w:rsidR="00854E8F">
        <w:rPr>
          <w:rFonts w:ascii="Arial" w:hAnsi="Arial" w:cs="Arial"/>
          <w:bCs/>
          <w:sz w:val="19"/>
          <w:szCs w:val="19"/>
        </w:rPr>
        <w:t>to improve the accuracy of cost estimates. These papers and presentations were published by the International Cost Estimating and Analysis Association (ICEAA), and Mr. Bayer presented the results of his analyses, papers, and techniques at the ICEAA Conferences in 2016, 2017, 2019, and 2021. His authoritative papers published by ICEAA were the following:</w:t>
      </w:r>
    </w:p>
    <w:p w14:paraId="327D4257" w14:textId="1285C574" w:rsidR="00854E8F" w:rsidRPr="00BC6DF7" w:rsidRDefault="00BC6DF7" w:rsidP="00BC6DF7">
      <w:pPr>
        <w:pStyle w:val="BodyTextIndent"/>
        <w:numPr>
          <w:ilvl w:val="0"/>
          <w:numId w:val="8"/>
        </w:numPr>
        <w:tabs>
          <w:tab w:val="clear" w:pos="1800"/>
          <w:tab w:val="clear" w:pos="9360"/>
          <w:tab w:val="right" w:pos="9900"/>
        </w:tabs>
        <w:rPr>
          <w:rFonts w:ascii="Arial" w:hAnsi="Arial" w:cs="Arial"/>
          <w:bCs/>
          <w:sz w:val="19"/>
          <w:szCs w:val="19"/>
        </w:rPr>
      </w:pPr>
      <w:r w:rsidRPr="00BC6DF7">
        <w:rPr>
          <w:rFonts w:ascii="Arial" w:hAnsi="Arial" w:cs="Arial"/>
          <w:bCs/>
          <w:sz w:val="19"/>
          <w:szCs w:val="19"/>
        </w:rPr>
        <w:t>“</w:t>
      </w:r>
      <w:r w:rsidR="00854E8F" w:rsidRPr="00BC6DF7">
        <w:rPr>
          <w:rFonts w:ascii="Arial" w:hAnsi="Arial" w:cs="Arial"/>
          <w:bCs/>
          <w:sz w:val="19"/>
          <w:szCs w:val="19"/>
        </w:rPr>
        <w:t>Bridging the Gap Between Capital Investment Valuation in the Public and Private Sectors</w:t>
      </w:r>
      <w:r w:rsidRPr="00BC6DF7">
        <w:rPr>
          <w:rFonts w:ascii="Arial" w:hAnsi="Arial" w:cs="Arial"/>
          <w:bCs/>
          <w:sz w:val="19"/>
          <w:szCs w:val="19"/>
        </w:rPr>
        <w:t xml:space="preserve">” – </w:t>
      </w:r>
      <w:r w:rsidRPr="00BC6DF7">
        <w:rPr>
          <w:rFonts w:ascii="Arial" w:hAnsi="Arial" w:cs="Arial"/>
          <w:color w:val="auto"/>
          <w:sz w:val="19"/>
          <w:szCs w:val="19"/>
        </w:rPr>
        <w:t>Presented at the 2016 International Cost Estimating and Analysis Association (ICEAA) Professional Development &amp; Training Workshop in Atlanta, GA</w:t>
      </w:r>
    </w:p>
    <w:p w14:paraId="5AA12110" w14:textId="15985308" w:rsidR="00854E8F" w:rsidRPr="00BC6DF7" w:rsidRDefault="00BC6DF7" w:rsidP="00BC6DF7">
      <w:pPr>
        <w:pStyle w:val="BodyTextIndent"/>
        <w:numPr>
          <w:ilvl w:val="0"/>
          <w:numId w:val="8"/>
        </w:numPr>
        <w:tabs>
          <w:tab w:val="clear" w:pos="1800"/>
          <w:tab w:val="clear" w:pos="9360"/>
          <w:tab w:val="right" w:pos="9900"/>
        </w:tabs>
        <w:rPr>
          <w:rFonts w:ascii="Arial" w:hAnsi="Arial" w:cs="Arial"/>
          <w:bCs/>
          <w:sz w:val="19"/>
          <w:szCs w:val="19"/>
        </w:rPr>
      </w:pPr>
      <w:r w:rsidRPr="00BC6DF7">
        <w:rPr>
          <w:rFonts w:ascii="Arial" w:hAnsi="Arial" w:cs="Arial"/>
          <w:bCs/>
          <w:sz w:val="19"/>
          <w:szCs w:val="19"/>
        </w:rPr>
        <w:t>“</w:t>
      </w:r>
      <w:r w:rsidR="00854E8F" w:rsidRPr="00BC6DF7">
        <w:rPr>
          <w:rFonts w:ascii="Arial" w:hAnsi="Arial" w:cs="Arial"/>
          <w:bCs/>
          <w:sz w:val="19"/>
          <w:szCs w:val="19"/>
        </w:rPr>
        <w:t>Using Real Options to Quantify Portfolio Value in Business Cases</w:t>
      </w:r>
      <w:r w:rsidRPr="00BC6DF7">
        <w:rPr>
          <w:rFonts w:ascii="Arial" w:hAnsi="Arial" w:cs="Arial"/>
          <w:bCs/>
          <w:sz w:val="19"/>
          <w:szCs w:val="19"/>
        </w:rPr>
        <w:t xml:space="preserve">” – </w:t>
      </w:r>
      <w:r w:rsidRPr="00BC6DF7">
        <w:rPr>
          <w:rFonts w:ascii="Arial" w:hAnsi="Arial" w:cs="Arial"/>
          <w:color w:val="auto"/>
          <w:sz w:val="19"/>
          <w:szCs w:val="19"/>
        </w:rPr>
        <w:t>Presented at the 2017 International Cost Estimating and Analysis Association (ICEAA) Professional Development &amp; Training Workshop in Portland, OR</w:t>
      </w:r>
    </w:p>
    <w:p w14:paraId="117AC62F" w14:textId="77777777" w:rsidR="00BC6DF7" w:rsidRPr="00BC6DF7" w:rsidRDefault="00BC6DF7" w:rsidP="00BC6DF7">
      <w:pPr>
        <w:pStyle w:val="BodyTextIndent"/>
        <w:numPr>
          <w:ilvl w:val="0"/>
          <w:numId w:val="8"/>
        </w:numPr>
        <w:tabs>
          <w:tab w:val="clear" w:pos="1800"/>
          <w:tab w:val="clear" w:pos="9360"/>
          <w:tab w:val="right" w:pos="9900"/>
        </w:tabs>
        <w:rPr>
          <w:rFonts w:ascii="Arial" w:hAnsi="Arial" w:cs="Arial"/>
          <w:bCs/>
          <w:sz w:val="19"/>
          <w:szCs w:val="19"/>
        </w:rPr>
      </w:pPr>
      <w:r w:rsidRPr="00BC6DF7">
        <w:rPr>
          <w:rFonts w:ascii="Arial" w:hAnsi="Arial" w:cs="Arial"/>
          <w:bCs/>
          <w:sz w:val="19"/>
          <w:szCs w:val="19"/>
        </w:rPr>
        <w:t>“</w:t>
      </w:r>
      <w:r w:rsidR="00854E8F" w:rsidRPr="00BC6DF7">
        <w:rPr>
          <w:rFonts w:ascii="Arial" w:hAnsi="Arial" w:cs="Arial"/>
          <w:bCs/>
          <w:sz w:val="19"/>
          <w:szCs w:val="19"/>
        </w:rPr>
        <w:t>Measuring Portfolio Value for Government Programs and Initiatives</w:t>
      </w:r>
      <w:r w:rsidRPr="00BC6DF7">
        <w:rPr>
          <w:rFonts w:ascii="Arial" w:hAnsi="Arial" w:cs="Arial"/>
          <w:bCs/>
          <w:sz w:val="19"/>
          <w:szCs w:val="19"/>
        </w:rPr>
        <w:t xml:space="preserve">” – </w:t>
      </w:r>
      <w:r w:rsidRPr="00BC6DF7">
        <w:rPr>
          <w:rFonts w:ascii="Arial" w:hAnsi="Arial" w:cs="Arial"/>
          <w:color w:val="auto"/>
          <w:sz w:val="19"/>
          <w:szCs w:val="19"/>
        </w:rPr>
        <w:t>Presented at the 2019 International Cost Estimating and Analysis Association (ICEAA) Professional Development &amp; Training Workshop in Tampa, FL</w:t>
      </w:r>
    </w:p>
    <w:p w14:paraId="531512D7" w14:textId="7C2EFF20" w:rsidR="00CC6113" w:rsidRPr="00BC6DF7" w:rsidRDefault="00BC6DF7" w:rsidP="00BC6DF7">
      <w:pPr>
        <w:pStyle w:val="BodyTextIndent"/>
        <w:numPr>
          <w:ilvl w:val="0"/>
          <w:numId w:val="8"/>
        </w:numPr>
        <w:tabs>
          <w:tab w:val="clear" w:pos="1800"/>
          <w:tab w:val="clear" w:pos="9360"/>
          <w:tab w:val="right" w:pos="9900"/>
        </w:tabs>
        <w:rPr>
          <w:rFonts w:ascii="Arial" w:hAnsi="Arial" w:cs="Arial"/>
          <w:bCs/>
          <w:sz w:val="19"/>
          <w:szCs w:val="19"/>
        </w:rPr>
      </w:pPr>
      <w:r w:rsidRPr="00BC6DF7">
        <w:rPr>
          <w:rFonts w:ascii="Arial" w:hAnsi="Arial" w:cs="Arial"/>
          <w:sz w:val="19"/>
          <w:szCs w:val="19"/>
        </w:rPr>
        <w:t>“</w:t>
      </w:r>
      <w:r w:rsidR="00854E8F" w:rsidRPr="00BC6DF7">
        <w:rPr>
          <w:rFonts w:ascii="Arial" w:hAnsi="Arial" w:cs="Arial"/>
          <w:sz w:val="19"/>
          <w:szCs w:val="19"/>
        </w:rPr>
        <w:t>Innovative Techniques for Analyzing Incomplete Data Sets to Improve Accuracy of Cost Estimates</w:t>
      </w:r>
      <w:r w:rsidRPr="00BC6DF7">
        <w:rPr>
          <w:rFonts w:ascii="Arial" w:hAnsi="Arial" w:cs="Arial"/>
          <w:bCs/>
          <w:sz w:val="19"/>
          <w:szCs w:val="19"/>
        </w:rPr>
        <w:t xml:space="preserve">” – </w:t>
      </w:r>
      <w:r w:rsidR="00CC3247">
        <w:rPr>
          <w:rFonts w:ascii="Arial" w:hAnsi="Arial" w:cs="Arial"/>
          <w:bCs/>
          <w:sz w:val="19"/>
          <w:szCs w:val="19"/>
        </w:rPr>
        <w:t xml:space="preserve">Presented </w:t>
      </w:r>
      <w:r w:rsidRPr="00BC6DF7">
        <w:rPr>
          <w:rFonts w:ascii="Arial" w:hAnsi="Arial" w:cs="Arial"/>
          <w:color w:val="auto"/>
          <w:sz w:val="19"/>
          <w:szCs w:val="19"/>
        </w:rPr>
        <w:t>at the 2021 International Cost Estimating and Analysis Association (ICEAA)</w:t>
      </w:r>
      <w:r w:rsidR="00CC3247">
        <w:rPr>
          <w:rFonts w:ascii="Arial" w:hAnsi="Arial" w:cs="Arial"/>
          <w:color w:val="auto"/>
          <w:sz w:val="19"/>
          <w:szCs w:val="19"/>
        </w:rPr>
        <w:t xml:space="preserve"> Online Workshop</w:t>
      </w:r>
      <w:r w:rsidR="004C0E66" w:rsidRPr="00BC6DF7">
        <w:rPr>
          <w:rFonts w:ascii="Arial" w:hAnsi="Arial" w:cs="Arial"/>
          <w:bCs/>
          <w:sz w:val="19"/>
          <w:szCs w:val="19"/>
        </w:rPr>
        <w:t xml:space="preserve"> </w:t>
      </w:r>
    </w:p>
    <w:sectPr w:rsidR="00CC6113" w:rsidRPr="00BC6DF7" w:rsidSect="007D0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96DDF"/>
    <w:multiLevelType w:val="multilevel"/>
    <w:tmpl w:val="8F5E6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605159"/>
    <w:multiLevelType w:val="multilevel"/>
    <w:tmpl w:val="EF3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5641B"/>
    <w:multiLevelType w:val="hybridMultilevel"/>
    <w:tmpl w:val="34A28986"/>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FA197B"/>
    <w:multiLevelType w:val="hybridMultilevel"/>
    <w:tmpl w:val="81F2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7569E4"/>
    <w:multiLevelType w:val="hybridMultilevel"/>
    <w:tmpl w:val="4C4EB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D6E"/>
    <w:rsid w:val="000362EF"/>
    <w:rsid w:val="000F0A61"/>
    <w:rsid w:val="002D5D34"/>
    <w:rsid w:val="00314ECE"/>
    <w:rsid w:val="00425D00"/>
    <w:rsid w:val="00492C49"/>
    <w:rsid w:val="004C0E66"/>
    <w:rsid w:val="00557FED"/>
    <w:rsid w:val="005714DD"/>
    <w:rsid w:val="0058312F"/>
    <w:rsid w:val="005E167E"/>
    <w:rsid w:val="006170F6"/>
    <w:rsid w:val="007D05D2"/>
    <w:rsid w:val="007D095C"/>
    <w:rsid w:val="00815531"/>
    <w:rsid w:val="008513EC"/>
    <w:rsid w:val="00854E8F"/>
    <w:rsid w:val="008B522C"/>
    <w:rsid w:val="008E5D6E"/>
    <w:rsid w:val="009E1A97"/>
    <w:rsid w:val="00AC7090"/>
    <w:rsid w:val="00B94EF7"/>
    <w:rsid w:val="00BC010C"/>
    <w:rsid w:val="00BC6DF7"/>
    <w:rsid w:val="00C77A8A"/>
    <w:rsid w:val="00CC3247"/>
    <w:rsid w:val="00CC6113"/>
    <w:rsid w:val="00D71DA5"/>
    <w:rsid w:val="00E2121E"/>
    <w:rsid w:val="00F45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5E6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
    <w:name w:val="il"/>
    <w:basedOn w:val="DefaultParagraphFont"/>
    <w:rsid w:val="008E5D6E"/>
  </w:style>
  <w:style w:type="character" w:customStyle="1" w:styleId="apple-converted-space">
    <w:name w:val="apple-converted-space"/>
    <w:basedOn w:val="DefaultParagraphFont"/>
    <w:rsid w:val="008E5D6E"/>
  </w:style>
  <w:style w:type="paragraph" w:styleId="ListParagraph">
    <w:name w:val="List Paragraph"/>
    <w:aliases w:val="Indent"/>
    <w:basedOn w:val="Normal"/>
    <w:link w:val="ListParagraphChar"/>
    <w:uiPriority w:val="34"/>
    <w:qFormat/>
    <w:rsid w:val="00425D00"/>
    <w:pPr>
      <w:ind w:left="720"/>
      <w:contextualSpacing/>
    </w:pPr>
    <w:rPr>
      <w:rFonts w:ascii="Trebuchet MS" w:eastAsia="Times New Roman" w:hAnsi="Trebuchet MS" w:cs="Times New Roman"/>
    </w:rPr>
  </w:style>
  <w:style w:type="character" w:customStyle="1" w:styleId="ListParagraphChar">
    <w:name w:val="List Paragraph Char"/>
    <w:aliases w:val="Indent Char"/>
    <w:basedOn w:val="DefaultParagraphFont"/>
    <w:link w:val="ListParagraph"/>
    <w:uiPriority w:val="34"/>
    <w:rsid w:val="00425D00"/>
    <w:rPr>
      <w:rFonts w:ascii="Trebuchet MS" w:eastAsia="Times New Roman" w:hAnsi="Trebuchet MS" w:cs="Times New Roman"/>
    </w:rPr>
  </w:style>
  <w:style w:type="paragraph" w:styleId="BodyTextIndent">
    <w:name w:val="Body Text Indent"/>
    <w:basedOn w:val="Normal"/>
    <w:link w:val="BodyTextIndentChar"/>
    <w:semiHidden/>
    <w:rsid w:val="00425D00"/>
    <w:pPr>
      <w:widowControl w:val="0"/>
      <w:tabs>
        <w:tab w:val="left" w:pos="1800"/>
        <w:tab w:val="right" w:pos="9360"/>
      </w:tabs>
      <w:ind w:left="720"/>
    </w:pPr>
    <w:rPr>
      <w:rFonts w:ascii="Century Gothic" w:eastAsia="Times New Roman" w:hAnsi="Century Gothic" w:cs="Times New Roman"/>
      <w:color w:val="000000"/>
      <w:kern w:val="28"/>
      <w:sz w:val="22"/>
      <w:szCs w:val="20"/>
    </w:rPr>
  </w:style>
  <w:style w:type="character" w:customStyle="1" w:styleId="BodyTextIndentChar">
    <w:name w:val="Body Text Indent Char"/>
    <w:basedOn w:val="DefaultParagraphFont"/>
    <w:link w:val="BodyTextIndent"/>
    <w:semiHidden/>
    <w:rsid w:val="00425D00"/>
    <w:rPr>
      <w:rFonts w:ascii="Century Gothic" w:eastAsia="Times New Roman" w:hAnsi="Century Gothic" w:cs="Times New Roman"/>
      <w:color w:val="000000"/>
      <w:kern w:val="28"/>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37581">
      <w:bodyDiv w:val="1"/>
      <w:marLeft w:val="0"/>
      <w:marRight w:val="0"/>
      <w:marTop w:val="0"/>
      <w:marBottom w:val="0"/>
      <w:divBdr>
        <w:top w:val="none" w:sz="0" w:space="0" w:color="auto"/>
        <w:left w:val="none" w:sz="0" w:space="0" w:color="auto"/>
        <w:bottom w:val="none" w:sz="0" w:space="0" w:color="auto"/>
        <w:right w:val="none" w:sz="0" w:space="0" w:color="auto"/>
      </w:divBdr>
      <w:divsChild>
        <w:div w:id="935213334">
          <w:marLeft w:val="0"/>
          <w:marRight w:val="0"/>
          <w:marTop w:val="0"/>
          <w:marBottom w:val="0"/>
          <w:divBdr>
            <w:top w:val="none" w:sz="0" w:space="0" w:color="auto"/>
            <w:left w:val="none" w:sz="0" w:space="0" w:color="auto"/>
            <w:bottom w:val="none" w:sz="0" w:space="0" w:color="auto"/>
            <w:right w:val="none" w:sz="0" w:space="0" w:color="auto"/>
          </w:divBdr>
        </w:div>
        <w:div w:id="1868831459">
          <w:marLeft w:val="0"/>
          <w:marRight w:val="0"/>
          <w:marTop w:val="0"/>
          <w:marBottom w:val="0"/>
          <w:divBdr>
            <w:top w:val="none" w:sz="0" w:space="0" w:color="auto"/>
            <w:left w:val="none" w:sz="0" w:space="0" w:color="auto"/>
            <w:bottom w:val="none" w:sz="0" w:space="0" w:color="auto"/>
            <w:right w:val="none" w:sz="0" w:space="0" w:color="auto"/>
          </w:divBdr>
          <w:divsChild>
            <w:div w:id="331639813">
              <w:marLeft w:val="0"/>
              <w:marRight w:val="0"/>
              <w:marTop w:val="0"/>
              <w:marBottom w:val="0"/>
              <w:divBdr>
                <w:top w:val="none" w:sz="0" w:space="0" w:color="auto"/>
                <w:left w:val="none" w:sz="0" w:space="0" w:color="auto"/>
                <w:bottom w:val="none" w:sz="0" w:space="0" w:color="auto"/>
                <w:right w:val="none" w:sz="0" w:space="0" w:color="auto"/>
              </w:divBdr>
            </w:div>
            <w:div w:id="369427096">
              <w:marLeft w:val="0"/>
              <w:marRight w:val="0"/>
              <w:marTop w:val="0"/>
              <w:marBottom w:val="0"/>
              <w:divBdr>
                <w:top w:val="none" w:sz="0" w:space="0" w:color="auto"/>
                <w:left w:val="none" w:sz="0" w:space="0" w:color="auto"/>
                <w:bottom w:val="none" w:sz="0" w:space="0" w:color="auto"/>
                <w:right w:val="none" w:sz="0" w:space="0" w:color="auto"/>
              </w:divBdr>
            </w:div>
            <w:div w:id="1073509247">
              <w:marLeft w:val="0"/>
              <w:marRight w:val="0"/>
              <w:marTop w:val="0"/>
              <w:marBottom w:val="0"/>
              <w:divBdr>
                <w:top w:val="none" w:sz="0" w:space="0" w:color="auto"/>
                <w:left w:val="none" w:sz="0" w:space="0" w:color="auto"/>
                <w:bottom w:val="none" w:sz="0" w:space="0" w:color="auto"/>
                <w:right w:val="none" w:sz="0" w:space="0" w:color="auto"/>
              </w:divBdr>
              <w:divsChild>
                <w:div w:id="238367275">
                  <w:marLeft w:val="0"/>
                  <w:marRight w:val="0"/>
                  <w:marTop w:val="0"/>
                  <w:marBottom w:val="0"/>
                  <w:divBdr>
                    <w:top w:val="none" w:sz="0" w:space="0" w:color="auto"/>
                    <w:left w:val="none" w:sz="0" w:space="0" w:color="auto"/>
                    <w:bottom w:val="none" w:sz="0" w:space="0" w:color="auto"/>
                    <w:right w:val="none" w:sz="0" w:space="0" w:color="auto"/>
                  </w:divBdr>
                </w:div>
                <w:div w:id="67771756">
                  <w:marLeft w:val="0"/>
                  <w:marRight w:val="0"/>
                  <w:marTop w:val="0"/>
                  <w:marBottom w:val="0"/>
                  <w:divBdr>
                    <w:top w:val="none" w:sz="0" w:space="0" w:color="auto"/>
                    <w:left w:val="none" w:sz="0" w:space="0" w:color="auto"/>
                    <w:bottom w:val="none" w:sz="0" w:space="0" w:color="auto"/>
                    <w:right w:val="none" w:sz="0" w:space="0" w:color="auto"/>
                  </w:divBdr>
                  <w:divsChild>
                    <w:div w:id="597954924">
                      <w:marLeft w:val="0"/>
                      <w:marRight w:val="0"/>
                      <w:marTop w:val="0"/>
                      <w:marBottom w:val="0"/>
                      <w:divBdr>
                        <w:top w:val="none" w:sz="0" w:space="0" w:color="auto"/>
                        <w:left w:val="none" w:sz="0" w:space="0" w:color="auto"/>
                        <w:bottom w:val="none" w:sz="0" w:space="0" w:color="auto"/>
                        <w:right w:val="none" w:sz="0" w:space="0" w:color="auto"/>
                      </w:divBdr>
                    </w:div>
                    <w:div w:id="1591088171">
                      <w:marLeft w:val="0"/>
                      <w:marRight w:val="0"/>
                      <w:marTop w:val="0"/>
                      <w:marBottom w:val="0"/>
                      <w:divBdr>
                        <w:top w:val="none" w:sz="0" w:space="0" w:color="auto"/>
                        <w:left w:val="none" w:sz="0" w:space="0" w:color="auto"/>
                        <w:bottom w:val="none" w:sz="0" w:space="0" w:color="auto"/>
                        <w:right w:val="none" w:sz="0" w:space="0" w:color="auto"/>
                      </w:divBdr>
                    </w:div>
                    <w:div w:id="1305935932">
                      <w:marLeft w:val="0"/>
                      <w:marRight w:val="0"/>
                      <w:marTop w:val="0"/>
                      <w:marBottom w:val="0"/>
                      <w:divBdr>
                        <w:top w:val="none" w:sz="0" w:space="0" w:color="auto"/>
                        <w:left w:val="none" w:sz="0" w:space="0" w:color="auto"/>
                        <w:bottom w:val="none" w:sz="0" w:space="0" w:color="auto"/>
                        <w:right w:val="none" w:sz="0" w:space="0" w:color="auto"/>
                      </w:divBdr>
                    </w:div>
                    <w:div w:id="170031382">
                      <w:marLeft w:val="0"/>
                      <w:marRight w:val="0"/>
                      <w:marTop w:val="0"/>
                      <w:marBottom w:val="0"/>
                      <w:divBdr>
                        <w:top w:val="none" w:sz="0" w:space="0" w:color="auto"/>
                        <w:left w:val="none" w:sz="0" w:space="0" w:color="auto"/>
                        <w:bottom w:val="none" w:sz="0" w:space="0" w:color="auto"/>
                        <w:right w:val="none" w:sz="0" w:space="0" w:color="auto"/>
                      </w:divBdr>
                    </w:div>
                    <w:div w:id="1918587204">
                      <w:marLeft w:val="0"/>
                      <w:marRight w:val="0"/>
                      <w:marTop w:val="0"/>
                      <w:marBottom w:val="0"/>
                      <w:divBdr>
                        <w:top w:val="none" w:sz="0" w:space="0" w:color="auto"/>
                        <w:left w:val="none" w:sz="0" w:space="0" w:color="auto"/>
                        <w:bottom w:val="none" w:sz="0" w:space="0" w:color="auto"/>
                        <w:right w:val="none" w:sz="0" w:space="0" w:color="auto"/>
                      </w:divBdr>
                    </w:div>
                    <w:div w:id="962926851">
                      <w:marLeft w:val="0"/>
                      <w:marRight w:val="0"/>
                      <w:marTop w:val="0"/>
                      <w:marBottom w:val="0"/>
                      <w:divBdr>
                        <w:top w:val="none" w:sz="0" w:space="0" w:color="auto"/>
                        <w:left w:val="none" w:sz="0" w:space="0" w:color="auto"/>
                        <w:bottom w:val="none" w:sz="0" w:space="0" w:color="auto"/>
                        <w:right w:val="none" w:sz="0" w:space="0" w:color="auto"/>
                      </w:divBdr>
                    </w:div>
                    <w:div w:id="47877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CECDF4-F64A-444F-A43B-29D7D3BA6F50}"/>
</file>

<file path=customXml/itemProps2.xml><?xml version="1.0" encoding="utf-8"?>
<ds:datastoreItem xmlns:ds="http://schemas.openxmlformats.org/officeDocument/2006/customXml" ds:itemID="{85AFBC4D-50E5-4B08-A669-556827B4B23A}"/>
</file>

<file path=customXml/itemProps3.xml><?xml version="1.0" encoding="utf-8"?>
<ds:datastoreItem xmlns:ds="http://schemas.openxmlformats.org/officeDocument/2006/customXml" ds:itemID="{8D09605F-433B-436D-981F-C60736D8C403}"/>
</file>

<file path=docProps/app.xml><?xml version="1.0" encoding="utf-8"?>
<Properties xmlns="http://schemas.openxmlformats.org/officeDocument/2006/extended-properties" xmlns:vt="http://schemas.openxmlformats.org/officeDocument/2006/docPropsVTypes">
  <Template>Normal</Template>
  <TotalTime>6</TotalTime>
  <Pages>2</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George Bayer</cp:lastModifiedBy>
  <cp:revision>3</cp:revision>
  <dcterms:created xsi:type="dcterms:W3CDTF">2021-08-29T01:45:00Z</dcterms:created>
  <dcterms:modified xsi:type="dcterms:W3CDTF">2021-08-29T01:50:00Z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85800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