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7D88FC" w14:textId="56C78465" w:rsidR="008E5D6E" w:rsidRPr="008E5D6E" w:rsidRDefault="008E5D6E" w:rsidP="008E5D6E">
      <w:pPr>
        <w:rPr>
          <w:rFonts w:ascii="Times New Roman" w:eastAsia="Times New Roman" w:hAnsi="Times New Roman" w:cs="Times New Roman"/>
        </w:rPr>
      </w:pPr>
      <w:r w:rsidRPr="008E5D6E">
        <w:rPr>
          <w:rFonts w:ascii="Arial" w:eastAsia="Times New Roman" w:hAnsi="Arial" w:cs="Arial"/>
          <w:color w:val="222222"/>
          <w:sz w:val="19"/>
          <w:szCs w:val="19"/>
        </w:rPr>
        <w:t>SME</w:t>
      </w:r>
      <w:r w:rsidRPr="008E5D6E">
        <w:rPr>
          <w:rFonts w:ascii="Arial" w:eastAsia="Times New Roman" w:hAnsi="Arial" w:cs="Arial"/>
          <w:color w:val="222222"/>
          <w:sz w:val="19"/>
          <w:szCs w:val="19"/>
          <w:shd w:val="clear" w:color="auto" w:fill="FFFFFF"/>
        </w:rPr>
        <w:t> </w:t>
      </w:r>
      <w:r w:rsidRPr="008E5D6E">
        <w:rPr>
          <w:rFonts w:ascii="Arial" w:eastAsia="Times New Roman" w:hAnsi="Arial" w:cs="Arial"/>
          <w:color w:val="222222"/>
          <w:sz w:val="19"/>
          <w:szCs w:val="19"/>
        </w:rPr>
        <w:t>Justification</w:t>
      </w:r>
      <w:r w:rsidRPr="008E5D6E">
        <w:rPr>
          <w:rFonts w:ascii="Arial" w:eastAsia="Times New Roman" w:hAnsi="Arial" w:cs="Arial"/>
          <w:color w:val="222222"/>
          <w:sz w:val="19"/>
          <w:szCs w:val="19"/>
          <w:shd w:val="clear" w:color="auto" w:fill="FFFFFF"/>
        </w:rPr>
        <w:t xml:space="preserve"> for </w:t>
      </w:r>
      <w:r w:rsidR="00E2121E">
        <w:rPr>
          <w:rFonts w:ascii="Arial" w:eastAsia="Times New Roman" w:hAnsi="Arial" w:cs="Arial"/>
          <w:color w:val="222222"/>
          <w:sz w:val="19"/>
          <w:szCs w:val="19"/>
          <w:shd w:val="clear" w:color="auto" w:fill="FFFFFF"/>
        </w:rPr>
        <w:t xml:space="preserve">Mr. </w:t>
      </w:r>
      <w:r w:rsidR="008B522C">
        <w:rPr>
          <w:rFonts w:ascii="Arial" w:eastAsia="Times New Roman" w:hAnsi="Arial" w:cs="Arial"/>
          <w:color w:val="222222"/>
          <w:sz w:val="19"/>
          <w:szCs w:val="19"/>
          <w:shd w:val="clear" w:color="auto" w:fill="FFFFFF"/>
        </w:rPr>
        <w:t>George Bayer</w:t>
      </w:r>
      <w:r w:rsidRPr="008E5D6E">
        <w:rPr>
          <w:rFonts w:ascii="Arial" w:eastAsia="Times New Roman" w:hAnsi="Arial" w:cs="Arial"/>
          <w:color w:val="222222"/>
          <w:sz w:val="19"/>
          <w:szCs w:val="19"/>
          <w:shd w:val="clear" w:color="auto" w:fill="FFFFFF"/>
        </w:rPr>
        <w:t>:</w:t>
      </w:r>
    </w:p>
    <w:p w14:paraId="5AFCEF5B" w14:textId="77777777" w:rsidR="008E5D6E" w:rsidRPr="008E5D6E" w:rsidRDefault="008E5D6E" w:rsidP="008E5D6E">
      <w:pPr>
        <w:rPr>
          <w:rFonts w:ascii="Arial" w:eastAsia="Times New Roman" w:hAnsi="Arial" w:cs="Arial"/>
          <w:color w:val="222222"/>
          <w:sz w:val="19"/>
          <w:szCs w:val="19"/>
        </w:rPr>
      </w:pPr>
    </w:p>
    <w:p w14:paraId="788B407D" w14:textId="358DC9F4" w:rsidR="008B522C" w:rsidRPr="008E5D6E" w:rsidRDefault="00E2121E" w:rsidP="008B522C">
      <w:pPr>
        <w:rPr>
          <w:rFonts w:ascii="Arial" w:eastAsia="Times New Roman" w:hAnsi="Arial" w:cs="Arial"/>
          <w:color w:val="222222"/>
          <w:sz w:val="19"/>
          <w:szCs w:val="19"/>
        </w:rPr>
      </w:pPr>
      <w:r>
        <w:rPr>
          <w:rFonts w:ascii="Arial" w:eastAsia="Times New Roman" w:hAnsi="Arial" w:cs="Arial"/>
          <w:color w:val="222222"/>
          <w:sz w:val="19"/>
          <w:szCs w:val="19"/>
        </w:rPr>
        <w:t xml:space="preserve">Mr. </w:t>
      </w:r>
      <w:r w:rsidR="008B522C">
        <w:rPr>
          <w:rFonts w:ascii="Arial" w:eastAsia="Times New Roman" w:hAnsi="Arial" w:cs="Arial"/>
          <w:color w:val="222222"/>
          <w:sz w:val="19"/>
          <w:szCs w:val="19"/>
        </w:rPr>
        <w:t>Bayer</w:t>
      </w:r>
      <w:r w:rsidR="008E5D6E" w:rsidRPr="008E5D6E">
        <w:rPr>
          <w:rFonts w:ascii="Arial" w:eastAsia="Times New Roman" w:hAnsi="Arial" w:cs="Arial"/>
          <w:color w:val="222222"/>
          <w:sz w:val="19"/>
          <w:szCs w:val="19"/>
        </w:rPr>
        <w:t xml:space="preserve"> has a Master’s degree in </w:t>
      </w:r>
      <w:r w:rsidR="008B522C">
        <w:rPr>
          <w:rFonts w:ascii="Arial" w:eastAsia="Times New Roman" w:hAnsi="Arial" w:cs="Arial"/>
          <w:color w:val="222222"/>
          <w:sz w:val="19"/>
          <w:szCs w:val="19"/>
        </w:rPr>
        <w:t xml:space="preserve">Business Administration with a concentration in Finance </w:t>
      </w:r>
      <w:r w:rsidR="008E5D6E" w:rsidRPr="008E5D6E">
        <w:rPr>
          <w:rFonts w:ascii="Arial" w:eastAsia="Times New Roman" w:hAnsi="Arial" w:cs="Arial"/>
          <w:color w:val="222222"/>
          <w:sz w:val="19"/>
          <w:szCs w:val="19"/>
        </w:rPr>
        <w:t xml:space="preserve">and over </w:t>
      </w:r>
      <w:r w:rsidR="008B522C">
        <w:rPr>
          <w:rFonts w:ascii="Arial" w:eastAsia="Times New Roman" w:hAnsi="Arial" w:cs="Arial"/>
          <w:color w:val="222222"/>
          <w:sz w:val="19"/>
          <w:szCs w:val="19"/>
        </w:rPr>
        <w:t>21</w:t>
      </w:r>
      <w:r w:rsidR="008E5D6E" w:rsidRPr="008E5D6E">
        <w:rPr>
          <w:rFonts w:ascii="Arial" w:eastAsia="Times New Roman" w:hAnsi="Arial" w:cs="Arial"/>
          <w:color w:val="222222"/>
          <w:sz w:val="19"/>
          <w:szCs w:val="19"/>
        </w:rPr>
        <w:t xml:space="preserve"> years of</w:t>
      </w:r>
      <w:r w:rsidR="008B522C">
        <w:rPr>
          <w:rFonts w:ascii="Arial" w:eastAsia="Times New Roman" w:hAnsi="Arial" w:cs="Arial"/>
          <w:color w:val="222222"/>
          <w:sz w:val="19"/>
          <w:szCs w:val="19"/>
        </w:rPr>
        <w:t xml:space="preserve"> business case analysis, capital investment evaluation, cost/benefit analyses, buildi</w:t>
      </w:r>
      <w:r w:rsidR="008B522C" w:rsidRPr="008B522C">
        <w:rPr>
          <w:rFonts w:ascii="Arial" w:eastAsia="Times New Roman" w:hAnsi="Arial" w:cs="Arial"/>
          <w:color w:val="222222"/>
          <w:sz w:val="19"/>
          <w:szCs w:val="19"/>
        </w:rPr>
        <w:t xml:space="preserve">ng complex cost estimates and valuation models and more than 10 years supporting business case and investment analysis for the FAA, including five years in Investment Planning &amp; Analysis. Mr. Bayer directed teams and developed </w:t>
      </w:r>
      <w:r w:rsidR="008B522C" w:rsidRPr="008B522C">
        <w:rPr>
          <w:rFonts w:ascii="Arial" w:hAnsi="Arial" w:cs="Arial"/>
          <w:bCs/>
          <w:sz w:val="19"/>
          <w:szCs w:val="19"/>
        </w:rPr>
        <w:t>program requirements, developing Life Cycle Cost Estimates (LCCEs) and Independent Government Cost Estimates (IGCEs), preparing statements of work, leading and evaluating market surveys, creating investment analysis and implementation schedules, and quantifying benefits and shortfalls for the following major capital investments for the Federal Aviation Administration (FAA)</w:t>
      </w:r>
      <w:r w:rsidR="008B522C">
        <w:rPr>
          <w:rFonts w:ascii="Arial" w:hAnsi="Arial" w:cs="Arial"/>
          <w:bCs/>
          <w:sz w:val="19"/>
          <w:szCs w:val="19"/>
        </w:rPr>
        <w:t>:</w:t>
      </w:r>
      <w:r w:rsidR="008B522C" w:rsidRPr="008B522C">
        <w:rPr>
          <w:rFonts w:ascii="Arial" w:eastAsia="Times New Roman" w:hAnsi="Arial" w:cs="Arial"/>
          <w:color w:val="222222"/>
          <w:sz w:val="19"/>
          <w:szCs w:val="19"/>
        </w:rPr>
        <w:t xml:space="preserve"> </w:t>
      </w:r>
    </w:p>
    <w:p w14:paraId="085AE0EA" w14:textId="77777777" w:rsidR="00425D00" w:rsidRPr="00314ECE" w:rsidRDefault="00425D00" w:rsidP="00425D00">
      <w:pPr>
        <w:pStyle w:val="ListParagraph"/>
        <w:numPr>
          <w:ilvl w:val="1"/>
          <w:numId w:val="1"/>
        </w:numPr>
        <w:rPr>
          <w:rFonts w:ascii="Arial" w:hAnsi="Arial" w:cs="Arial"/>
          <w:bCs/>
          <w:iCs/>
          <w:sz w:val="19"/>
          <w:szCs w:val="19"/>
        </w:rPr>
      </w:pPr>
      <w:r w:rsidRPr="00314ECE">
        <w:rPr>
          <w:rFonts w:ascii="Arial" w:hAnsi="Arial" w:cs="Arial"/>
          <w:bCs/>
          <w:sz w:val="19"/>
          <w:szCs w:val="19"/>
        </w:rPr>
        <w:t>Automation Maintenance Management System (AMMS)</w:t>
      </w:r>
    </w:p>
    <w:p w14:paraId="21732C0E" w14:textId="77777777" w:rsidR="00425D00" w:rsidRPr="00314ECE" w:rsidRDefault="00425D00" w:rsidP="00425D00">
      <w:pPr>
        <w:pStyle w:val="ListParagraph"/>
        <w:numPr>
          <w:ilvl w:val="1"/>
          <w:numId w:val="1"/>
        </w:numPr>
        <w:rPr>
          <w:rFonts w:ascii="Arial" w:hAnsi="Arial" w:cs="Arial"/>
          <w:bCs/>
          <w:iCs/>
          <w:sz w:val="19"/>
          <w:szCs w:val="19"/>
        </w:rPr>
      </w:pPr>
      <w:r w:rsidRPr="00314ECE">
        <w:rPr>
          <w:rFonts w:ascii="Arial" w:hAnsi="Arial" w:cs="Arial"/>
          <w:bCs/>
          <w:sz w:val="19"/>
          <w:szCs w:val="19"/>
        </w:rPr>
        <w:t>Configuration Management Automation (CMA)</w:t>
      </w:r>
    </w:p>
    <w:p w14:paraId="5A6DCDA8" w14:textId="77777777" w:rsidR="00425D00" w:rsidRPr="00314ECE" w:rsidRDefault="00425D00" w:rsidP="00425D00">
      <w:pPr>
        <w:pStyle w:val="ListParagraph"/>
        <w:numPr>
          <w:ilvl w:val="1"/>
          <w:numId w:val="1"/>
        </w:numPr>
        <w:rPr>
          <w:rFonts w:ascii="Arial" w:hAnsi="Arial" w:cs="Arial"/>
          <w:bCs/>
          <w:iCs/>
          <w:sz w:val="19"/>
          <w:szCs w:val="19"/>
        </w:rPr>
      </w:pPr>
      <w:r w:rsidRPr="00314ECE">
        <w:rPr>
          <w:rFonts w:ascii="Arial" w:hAnsi="Arial" w:cs="Arial"/>
          <w:bCs/>
          <w:sz w:val="19"/>
          <w:szCs w:val="19"/>
        </w:rPr>
        <w:t>Logistics Center Supply System (LCSS)</w:t>
      </w:r>
    </w:p>
    <w:p w14:paraId="41778531" w14:textId="77777777" w:rsidR="00425D00" w:rsidRPr="00314ECE" w:rsidRDefault="00425D00" w:rsidP="00425D00">
      <w:pPr>
        <w:pStyle w:val="ListParagraph"/>
        <w:numPr>
          <w:ilvl w:val="1"/>
          <w:numId w:val="1"/>
        </w:numPr>
        <w:rPr>
          <w:rFonts w:ascii="Arial" w:hAnsi="Arial" w:cs="Arial"/>
          <w:bCs/>
          <w:iCs/>
          <w:sz w:val="19"/>
          <w:szCs w:val="19"/>
        </w:rPr>
      </w:pPr>
      <w:r w:rsidRPr="00314ECE">
        <w:rPr>
          <w:rFonts w:ascii="Arial" w:hAnsi="Arial" w:cs="Arial"/>
          <w:bCs/>
          <w:sz w:val="19"/>
          <w:szCs w:val="19"/>
        </w:rPr>
        <w:t>Time Based Flow Management (TBFM) Enhancements 1 &amp; 2</w:t>
      </w:r>
    </w:p>
    <w:p w14:paraId="213D7681" w14:textId="77777777" w:rsidR="00425D00" w:rsidRPr="00314ECE" w:rsidRDefault="00425D00" w:rsidP="00425D00">
      <w:pPr>
        <w:pStyle w:val="ListParagraph"/>
        <w:numPr>
          <w:ilvl w:val="1"/>
          <w:numId w:val="1"/>
        </w:numPr>
        <w:rPr>
          <w:rFonts w:ascii="Arial" w:hAnsi="Arial" w:cs="Arial"/>
          <w:bCs/>
          <w:iCs/>
          <w:sz w:val="19"/>
          <w:szCs w:val="19"/>
        </w:rPr>
      </w:pPr>
      <w:r w:rsidRPr="00314ECE">
        <w:rPr>
          <w:rFonts w:ascii="Arial" w:hAnsi="Arial" w:cs="Arial"/>
          <w:bCs/>
          <w:sz w:val="19"/>
          <w:szCs w:val="19"/>
        </w:rPr>
        <w:t>NAS Voice Recorder Program (NVRP)</w:t>
      </w:r>
    </w:p>
    <w:p w14:paraId="4DF7F433" w14:textId="77777777" w:rsidR="00425D00" w:rsidRPr="00314ECE" w:rsidRDefault="00425D00" w:rsidP="00425D00">
      <w:pPr>
        <w:pStyle w:val="ListParagraph"/>
        <w:numPr>
          <w:ilvl w:val="1"/>
          <w:numId w:val="1"/>
        </w:numPr>
        <w:rPr>
          <w:rFonts w:ascii="Arial" w:hAnsi="Arial" w:cs="Arial"/>
          <w:bCs/>
          <w:iCs/>
          <w:sz w:val="19"/>
          <w:szCs w:val="19"/>
        </w:rPr>
      </w:pPr>
      <w:r w:rsidRPr="00314ECE">
        <w:rPr>
          <w:rFonts w:ascii="Arial" w:hAnsi="Arial" w:cs="Arial"/>
          <w:bCs/>
          <w:iCs/>
          <w:sz w:val="19"/>
          <w:szCs w:val="19"/>
        </w:rPr>
        <w:t>NAS Voice Switch (NVS)</w:t>
      </w:r>
    </w:p>
    <w:p w14:paraId="3C60315A" w14:textId="77777777" w:rsidR="00425D00" w:rsidRPr="00314ECE" w:rsidRDefault="00425D00" w:rsidP="00425D00">
      <w:pPr>
        <w:pStyle w:val="ListParagraph"/>
        <w:numPr>
          <w:ilvl w:val="1"/>
          <w:numId w:val="1"/>
        </w:numPr>
        <w:rPr>
          <w:rFonts w:ascii="Arial" w:hAnsi="Arial" w:cs="Arial"/>
          <w:bCs/>
          <w:iCs/>
          <w:sz w:val="19"/>
          <w:szCs w:val="19"/>
        </w:rPr>
      </w:pPr>
      <w:r w:rsidRPr="00314ECE">
        <w:rPr>
          <w:rFonts w:ascii="Arial" w:hAnsi="Arial" w:cs="Arial"/>
          <w:bCs/>
          <w:sz w:val="19"/>
          <w:szCs w:val="19"/>
        </w:rPr>
        <w:t>Tech Ops Facilities</w:t>
      </w:r>
    </w:p>
    <w:p w14:paraId="515227F4" w14:textId="77777777" w:rsidR="00425D00" w:rsidRPr="00314ECE" w:rsidRDefault="00425D00" w:rsidP="00425D00">
      <w:pPr>
        <w:pStyle w:val="ListParagraph"/>
        <w:numPr>
          <w:ilvl w:val="1"/>
          <w:numId w:val="1"/>
        </w:numPr>
        <w:rPr>
          <w:rFonts w:ascii="Arial" w:hAnsi="Arial" w:cs="Arial"/>
          <w:bCs/>
          <w:iCs/>
          <w:sz w:val="19"/>
          <w:szCs w:val="19"/>
        </w:rPr>
      </w:pPr>
      <w:r w:rsidRPr="00314ECE">
        <w:rPr>
          <w:rFonts w:ascii="Arial" w:hAnsi="Arial" w:cs="Arial"/>
          <w:bCs/>
          <w:sz w:val="19"/>
          <w:szCs w:val="19"/>
        </w:rPr>
        <w:t>Data Communications (Data Comm)</w:t>
      </w:r>
    </w:p>
    <w:p w14:paraId="57D3A8CF" w14:textId="77777777" w:rsidR="00425D00" w:rsidRPr="00314ECE" w:rsidRDefault="00425D00" w:rsidP="00425D00">
      <w:pPr>
        <w:pStyle w:val="ListParagraph"/>
        <w:numPr>
          <w:ilvl w:val="1"/>
          <w:numId w:val="1"/>
        </w:numPr>
        <w:rPr>
          <w:rFonts w:ascii="Arial" w:hAnsi="Arial" w:cs="Arial"/>
          <w:bCs/>
          <w:iCs/>
          <w:sz w:val="19"/>
          <w:szCs w:val="19"/>
        </w:rPr>
      </w:pPr>
      <w:r w:rsidRPr="00314ECE">
        <w:rPr>
          <w:rFonts w:ascii="Arial" w:hAnsi="Arial" w:cs="Arial"/>
          <w:bCs/>
          <w:sz w:val="19"/>
          <w:szCs w:val="19"/>
        </w:rPr>
        <w:t>Advanced Technologies &amp; Oceanic Procedures (ATOP)</w:t>
      </w:r>
    </w:p>
    <w:p w14:paraId="6DFFFFFD" w14:textId="77777777" w:rsidR="00425D00" w:rsidRPr="00314ECE" w:rsidRDefault="00425D00" w:rsidP="00425D00">
      <w:pPr>
        <w:pStyle w:val="ListParagraph"/>
        <w:numPr>
          <w:ilvl w:val="1"/>
          <w:numId w:val="1"/>
        </w:numPr>
        <w:rPr>
          <w:rFonts w:ascii="Arial" w:hAnsi="Arial" w:cs="Arial"/>
          <w:bCs/>
          <w:iCs/>
          <w:sz w:val="19"/>
          <w:szCs w:val="19"/>
        </w:rPr>
      </w:pPr>
      <w:r w:rsidRPr="00314ECE">
        <w:rPr>
          <w:rFonts w:ascii="Arial" w:hAnsi="Arial" w:cs="Arial"/>
          <w:bCs/>
          <w:sz w:val="19"/>
          <w:szCs w:val="19"/>
        </w:rPr>
        <w:t>Flight Start</w:t>
      </w:r>
    </w:p>
    <w:p w14:paraId="110C713E" w14:textId="77777777" w:rsidR="00425D00" w:rsidRPr="00314ECE" w:rsidRDefault="00425D00" w:rsidP="00425D00">
      <w:pPr>
        <w:pStyle w:val="ListParagraph"/>
        <w:numPr>
          <w:ilvl w:val="1"/>
          <w:numId w:val="1"/>
        </w:numPr>
        <w:rPr>
          <w:rFonts w:ascii="Arial" w:hAnsi="Arial" w:cs="Arial"/>
          <w:bCs/>
          <w:iCs/>
          <w:sz w:val="19"/>
          <w:szCs w:val="19"/>
        </w:rPr>
      </w:pPr>
      <w:r w:rsidRPr="00314ECE">
        <w:rPr>
          <w:rFonts w:ascii="Arial" w:hAnsi="Arial" w:cs="Arial"/>
          <w:bCs/>
          <w:sz w:val="19"/>
          <w:szCs w:val="19"/>
        </w:rPr>
        <w:t>Wind &amp; Wave Evacuation Survival Facility (WIWAVES)</w:t>
      </w:r>
    </w:p>
    <w:p w14:paraId="4E2E34A6" w14:textId="69B06437" w:rsidR="00425D00" w:rsidRPr="00CC6113" w:rsidRDefault="00425D00" w:rsidP="00425D00">
      <w:pPr>
        <w:pStyle w:val="ListParagraph"/>
        <w:numPr>
          <w:ilvl w:val="1"/>
          <w:numId w:val="1"/>
        </w:numPr>
        <w:rPr>
          <w:rFonts w:ascii="Arial" w:hAnsi="Arial" w:cs="Arial"/>
          <w:bCs/>
          <w:iCs/>
          <w:sz w:val="19"/>
          <w:szCs w:val="19"/>
        </w:rPr>
      </w:pPr>
      <w:r w:rsidRPr="00314ECE">
        <w:rPr>
          <w:rFonts w:ascii="Arial" w:hAnsi="Arial" w:cs="Arial"/>
          <w:bCs/>
          <w:sz w:val="19"/>
          <w:szCs w:val="19"/>
        </w:rPr>
        <w:t>Enterprise Information Display System (E-IDS)</w:t>
      </w:r>
    </w:p>
    <w:p w14:paraId="2F017257" w14:textId="461B946C" w:rsidR="00CC6113" w:rsidRPr="00314ECE" w:rsidRDefault="00CC6113" w:rsidP="00425D00">
      <w:pPr>
        <w:pStyle w:val="ListParagraph"/>
        <w:numPr>
          <w:ilvl w:val="1"/>
          <w:numId w:val="1"/>
        </w:numPr>
        <w:rPr>
          <w:rFonts w:ascii="Arial" w:hAnsi="Arial" w:cs="Arial"/>
          <w:bCs/>
          <w:iCs/>
          <w:sz w:val="19"/>
          <w:szCs w:val="19"/>
        </w:rPr>
      </w:pPr>
      <w:r>
        <w:rPr>
          <w:rFonts w:ascii="Arial" w:hAnsi="Arial" w:cs="Arial"/>
          <w:bCs/>
          <w:sz w:val="19"/>
          <w:szCs w:val="19"/>
        </w:rPr>
        <w:t>Integrated Display System Replacement (IDSR)</w:t>
      </w:r>
    </w:p>
    <w:p w14:paraId="7F2B1A05" w14:textId="22FFE62E" w:rsidR="008B522C" w:rsidRPr="00314ECE" w:rsidRDefault="00425D00" w:rsidP="00425D00">
      <w:pPr>
        <w:pStyle w:val="ListParagraph"/>
        <w:numPr>
          <w:ilvl w:val="1"/>
          <w:numId w:val="1"/>
        </w:numPr>
        <w:rPr>
          <w:rFonts w:ascii="Arial" w:hAnsi="Arial" w:cs="Arial"/>
          <w:bCs/>
          <w:iCs/>
          <w:sz w:val="19"/>
          <w:szCs w:val="19"/>
        </w:rPr>
      </w:pPr>
      <w:r w:rsidRPr="00314ECE">
        <w:rPr>
          <w:rFonts w:ascii="Arial" w:hAnsi="Arial" w:cs="Arial"/>
          <w:bCs/>
          <w:sz w:val="19"/>
          <w:szCs w:val="19"/>
        </w:rPr>
        <w:t>Operational Analysis &amp; Reporting System (OARS)</w:t>
      </w:r>
    </w:p>
    <w:p w14:paraId="4129F15C" w14:textId="77777777" w:rsidR="00314ECE" w:rsidRPr="00314ECE" w:rsidRDefault="00314ECE" w:rsidP="00425D00">
      <w:pPr>
        <w:pStyle w:val="BodyTextIndent"/>
        <w:tabs>
          <w:tab w:val="clear" w:pos="1800"/>
          <w:tab w:val="clear" w:pos="9360"/>
          <w:tab w:val="right" w:pos="9900"/>
        </w:tabs>
        <w:ind w:left="0"/>
        <w:rPr>
          <w:rFonts w:ascii="Arial" w:hAnsi="Arial" w:cs="Arial"/>
          <w:bCs/>
          <w:sz w:val="19"/>
          <w:szCs w:val="19"/>
        </w:rPr>
      </w:pPr>
    </w:p>
    <w:p w14:paraId="05CB27F1" w14:textId="77777777" w:rsidR="00425D00" w:rsidRPr="00314ECE" w:rsidRDefault="00425D00" w:rsidP="00425D00">
      <w:pPr>
        <w:pStyle w:val="BodyTextIndent"/>
        <w:tabs>
          <w:tab w:val="clear" w:pos="1800"/>
          <w:tab w:val="clear" w:pos="9360"/>
          <w:tab w:val="right" w:pos="9900"/>
        </w:tabs>
        <w:ind w:left="0"/>
        <w:rPr>
          <w:rFonts w:ascii="Arial" w:hAnsi="Arial" w:cs="Arial"/>
          <w:bCs/>
          <w:sz w:val="19"/>
          <w:szCs w:val="19"/>
        </w:rPr>
      </w:pPr>
      <w:r w:rsidRPr="00314ECE">
        <w:rPr>
          <w:rFonts w:ascii="Arial" w:hAnsi="Arial" w:cs="Arial"/>
          <w:bCs/>
          <w:sz w:val="19"/>
          <w:szCs w:val="19"/>
        </w:rPr>
        <w:t>In his FAA program support roles for E-IDS, NVR-P, OARS, and AMMS, Mr. Bayer developed innovative quantifiable solutions to support FAA clients for agency strategic initiatives, including infrastructure sustainment analyses, critical part failure analyses, decision tree portfolio analyses, value stream analyses, and integrated supply chain optimization strategy.</w:t>
      </w:r>
    </w:p>
    <w:p w14:paraId="5B20E588" w14:textId="3C8B6F88" w:rsidR="00425D00" w:rsidRPr="00314ECE" w:rsidRDefault="00425D00" w:rsidP="00425D00">
      <w:pPr>
        <w:pStyle w:val="BodyTextIndent"/>
        <w:tabs>
          <w:tab w:val="clear" w:pos="1800"/>
          <w:tab w:val="clear" w:pos="9360"/>
          <w:tab w:val="right" w:pos="9900"/>
        </w:tabs>
        <w:ind w:left="0"/>
        <w:rPr>
          <w:rFonts w:ascii="Arial" w:hAnsi="Arial" w:cs="Arial"/>
          <w:bCs/>
          <w:sz w:val="19"/>
          <w:szCs w:val="19"/>
        </w:rPr>
      </w:pPr>
    </w:p>
    <w:p w14:paraId="4C427D3C" w14:textId="6CABDA28" w:rsidR="00314ECE" w:rsidRPr="00314ECE" w:rsidRDefault="00314ECE" w:rsidP="00425D00">
      <w:pPr>
        <w:pStyle w:val="BodyTextIndent"/>
        <w:tabs>
          <w:tab w:val="clear" w:pos="1800"/>
          <w:tab w:val="clear" w:pos="9360"/>
          <w:tab w:val="right" w:pos="9900"/>
        </w:tabs>
        <w:ind w:left="0"/>
        <w:rPr>
          <w:rFonts w:ascii="Arial" w:hAnsi="Arial" w:cs="Arial"/>
          <w:bCs/>
          <w:sz w:val="19"/>
          <w:szCs w:val="19"/>
        </w:rPr>
      </w:pPr>
      <w:r w:rsidRPr="00314ECE">
        <w:rPr>
          <w:rFonts w:ascii="Arial" w:hAnsi="Arial" w:cs="Arial"/>
          <w:bCs/>
          <w:sz w:val="19"/>
          <w:szCs w:val="19"/>
        </w:rPr>
        <w:t>His sustainment analyses and legacy system failure projections for the E-IDS program helped AJM-22 determine legacy program end-of-life and project inventory depletion for critical parts helping prevent loss of service of a critical infrastructure system with lifecycle operations cost of $950M in preparation for deployment of an ACAT 1 new investment.</w:t>
      </w:r>
    </w:p>
    <w:p w14:paraId="17DD1CCE" w14:textId="77777777" w:rsidR="00314ECE" w:rsidRPr="00314ECE" w:rsidRDefault="00314ECE" w:rsidP="00425D00">
      <w:pPr>
        <w:pStyle w:val="BodyTextIndent"/>
        <w:tabs>
          <w:tab w:val="clear" w:pos="1800"/>
          <w:tab w:val="clear" w:pos="9360"/>
          <w:tab w:val="right" w:pos="9900"/>
        </w:tabs>
        <w:ind w:left="0"/>
        <w:rPr>
          <w:rFonts w:ascii="Arial" w:hAnsi="Arial" w:cs="Arial"/>
          <w:bCs/>
          <w:sz w:val="19"/>
          <w:szCs w:val="19"/>
        </w:rPr>
      </w:pPr>
    </w:p>
    <w:p w14:paraId="590ACCA4" w14:textId="38112E19" w:rsidR="00314ECE" w:rsidRPr="00B94EF7" w:rsidRDefault="00425D00" w:rsidP="00425D00">
      <w:pPr>
        <w:pStyle w:val="BodyTextIndent"/>
        <w:tabs>
          <w:tab w:val="clear" w:pos="1800"/>
          <w:tab w:val="clear" w:pos="9360"/>
          <w:tab w:val="right" w:pos="9900"/>
        </w:tabs>
        <w:ind w:left="0"/>
        <w:rPr>
          <w:rFonts w:ascii="Arial" w:hAnsi="Arial" w:cs="Arial"/>
          <w:bCs/>
          <w:sz w:val="19"/>
          <w:szCs w:val="19"/>
        </w:rPr>
      </w:pPr>
      <w:r w:rsidRPr="00314ECE">
        <w:rPr>
          <w:rFonts w:ascii="Arial" w:hAnsi="Arial" w:cs="Arial"/>
          <w:bCs/>
          <w:sz w:val="19"/>
          <w:szCs w:val="19"/>
        </w:rPr>
        <w:t>For the LCSS program, while in Investment Planning &amp; Analysis</w:t>
      </w:r>
      <w:r w:rsidR="00314ECE">
        <w:rPr>
          <w:rFonts w:ascii="Arial" w:hAnsi="Arial" w:cs="Arial"/>
          <w:bCs/>
          <w:sz w:val="19"/>
          <w:szCs w:val="19"/>
        </w:rPr>
        <w:t xml:space="preserve"> (IP&amp;A)</w:t>
      </w:r>
      <w:r w:rsidRPr="00314ECE">
        <w:rPr>
          <w:rFonts w:ascii="Arial" w:hAnsi="Arial" w:cs="Arial"/>
          <w:bCs/>
          <w:sz w:val="19"/>
          <w:szCs w:val="19"/>
        </w:rPr>
        <w:t xml:space="preserve">, Mr. Bayer developed a portfolio decision tree analysis to depict the future integration of logistics, maintenance, and configuration management systems into an integrated maintenance and supply system and to quantify program and portfolio integrated benefits to help the FAA achieve KPI and </w:t>
      </w:r>
      <w:proofErr w:type="spellStart"/>
      <w:r w:rsidRPr="00314ECE">
        <w:rPr>
          <w:rFonts w:ascii="Arial" w:hAnsi="Arial" w:cs="Arial"/>
          <w:bCs/>
          <w:sz w:val="19"/>
          <w:szCs w:val="19"/>
        </w:rPr>
        <w:t>ConOps</w:t>
      </w:r>
      <w:proofErr w:type="spellEnd"/>
      <w:r w:rsidRPr="00314ECE">
        <w:rPr>
          <w:rFonts w:ascii="Arial" w:hAnsi="Arial" w:cs="Arial"/>
          <w:bCs/>
          <w:sz w:val="19"/>
          <w:szCs w:val="19"/>
        </w:rPr>
        <w:t xml:space="preserve"> goals of Reliability Centered Maintenance</w:t>
      </w:r>
      <w:r w:rsidR="00314ECE" w:rsidRPr="00314ECE">
        <w:rPr>
          <w:rFonts w:ascii="Arial" w:hAnsi="Arial" w:cs="Arial"/>
          <w:bCs/>
          <w:sz w:val="19"/>
          <w:szCs w:val="19"/>
        </w:rPr>
        <w:t xml:space="preserve"> (RCM) and Predictive Maintenance. When realized, those benefits exceeded $1B in operations savings over a 20-year lifecycle.</w:t>
      </w:r>
    </w:p>
    <w:p w14:paraId="1B362857" w14:textId="77777777" w:rsidR="00314ECE" w:rsidRPr="00B94EF7" w:rsidRDefault="00314ECE" w:rsidP="00425D00">
      <w:pPr>
        <w:pStyle w:val="BodyTextIndent"/>
        <w:tabs>
          <w:tab w:val="clear" w:pos="1800"/>
          <w:tab w:val="clear" w:pos="9360"/>
          <w:tab w:val="right" w:pos="9900"/>
        </w:tabs>
        <w:ind w:left="0"/>
        <w:rPr>
          <w:rFonts w:ascii="Arial" w:hAnsi="Arial" w:cs="Arial"/>
          <w:bCs/>
          <w:sz w:val="19"/>
          <w:szCs w:val="19"/>
        </w:rPr>
      </w:pPr>
    </w:p>
    <w:p w14:paraId="57C00CC9" w14:textId="380C0F60" w:rsidR="00314ECE" w:rsidRPr="00B94EF7" w:rsidRDefault="00314ECE" w:rsidP="00425D00">
      <w:pPr>
        <w:pStyle w:val="BodyTextIndent"/>
        <w:tabs>
          <w:tab w:val="clear" w:pos="1800"/>
          <w:tab w:val="clear" w:pos="9360"/>
          <w:tab w:val="right" w:pos="9900"/>
        </w:tabs>
        <w:ind w:left="0"/>
        <w:rPr>
          <w:rFonts w:ascii="Arial" w:hAnsi="Arial" w:cs="Arial"/>
          <w:bCs/>
          <w:sz w:val="19"/>
          <w:szCs w:val="19"/>
        </w:rPr>
      </w:pPr>
      <w:r w:rsidRPr="00B94EF7">
        <w:rPr>
          <w:rFonts w:ascii="Arial" w:hAnsi="Arial" w:cs="Arial"/>
          <w:bCs/>
          <w:sz w:val="19"/>
          <w:szCs w:val="19"/>
        </w:rPr>
        <w:t>In addition to the program office cost/benefit analyses, technical sustainment analyses, portfolio and value stream analyses, business case development, and optimization strategies in the PMO, Mr. Bayer evaluated over 1</w:t>
      </w:r>
      <w:r w:rsidR="00CC6113" w:rsidRPr="00B94EF7">
        <w:rPr>
          <w:rFonts w:ascii="Arial" w:hAnsi="Arial" w:cs="Arial"/>
          <w:bCs/>
          <w:sz w:val="19"/>
          <w:szCs w:val="19"/>
        </w:rPr>
        <w:t>2</w:t>
      </w:r>
      <w:r w:rsidRPr="00B94EF7">
        <w:rPr>
          <w:rFonts w:ascii="Arial" w:hAnsi="Arial" w:cs="Arial"/>
          <w:bCs/>
          <w:sz w:val="19"/>
          <w:szCs w:val="19"/>
        </w:rPr>
        <w:t xml:space="preserve"> FAA business cases and acquisitions while a Business Case Lead in IP&amp;A including the following:</w:t>
      </w:r>
    </w:p>
    <w:p w14:paraId="5F20737D" w14:textId="039DA935" w:rsidR="00314ECE" w:rsidRPr="00B94EF7" w:rsidRDefault="00314ECE" w:rsidP="00314ECE">
      <w:pPr>
        <w:pStyle w:val="BodyTextIndent"/>
        <w:numPr>
          <w:ilvl w:val="0"/>
          <w:numId w:val="6"/>
        </w:numPr>
        <w:tabs>
          <w:tab w:val="clear" w:pos="1800"/>
          <w:tab w:val="clear" w:pos="9360"/>
          <w:tab w:val="right" w:pos="9900"/>
        </w:tabs>
        <w:rPr>
          <w:rFonts w:ascii="Arial" w:hAnsi="Arial" w:cs="Arial"/>
          <w:bCs/>
          <w:sz w:val="19"/>
          <w:szCs w:val="19"/>
        </w:rPr>
      </w:pPr>
      <w:r w:rsidRPr="00B94EF7">
        <w:rPr>
          <w:rFonts w:ascii="Arial" w:hAnsi="Arial" w:cs="Arial"/>
          <w:bCs/>
          <w:sz w:val="19"/>
          <w:szCs w:val="19"/>
        </w:rPr>
        <w:t>Wake Turbulence Mitigation for Departures (WTMD)</w:t>
      </w:r>
    </w:p>
    <w:p w14:paraId="5271059C" w14:textId="19D93813" w:rsidR="00314ECE" w:rsidRPr="00B94EF7" w:rsidRDefault="00314ECE" w:rsidP="00314ECE">
      <w:pPr>
        <w:pStyle w:val="BodyTextIndent"/>
        <w:numPr>
          <w:ilvl w:val="0"/>
          <w:numId w:val="6"/>
        </w:numPr>
        <w:tabs>
          <w:tab w:val="clear" w:pos="1800"/>
          <w:tab w:val="clear" w:pos="9360"/>
          <w:tab w:val="right" w:pos="9900"/>
        </w:tabs>
        <w:rPr>
          <w:rFonts w:ascii="Arial" w:hAnsi="Arial" w:cs="Arial"/>
          <w:bCs/>
          <w:sz w:val="19"/>
          <w:szCs w:val="19"/>
        </w:rPr>
      </w:pPr>
      <w:r w:rsidRPr="00B94EF7">
        <w:rPr>
          <w:rFonts w:ascii="Arial" w:hAnsi="Arial" w:cs="Arial"/>
          <w:bCs/>
          <w:sz w:val="19"/>
          <w:szCs w:val="19"/>
        </w:rPr>
        <w:t>NVS</w:t>
      </w:r>
    </w:p>
    <w:p w14:paraId="3D48EB46" w14:textId="00CD672F" w:rsidR="00314ECE" w:rsidRPr="00B94EF7" w:rsidRDefault="00314ECE" w:rsidP="00314ECE">
      <w:pPr>
        <w:pStyle w:val="BodyTextIndent"/>
        <w:numPr>
          <w:ilvl w:val="0"/>
          <w:numId w:val="6"/>
        </w:numPr>
        <w:tabs>
          <w:tab w:val="clear" w:pos="1800"/>
          <w:tab w:val="clear" w:pos="9360"/>
          <w:tab w:val="right" w:pos="9900"/>
        </w:tabs>
        <w:rPr>
          <w:rFonts w:ascii="Arial" w:hAnsi="Arial" w:cs="Arial"/>
          <w:bCs/>
          <w:sz w:val="19"/>
          <w:szCs w:val="19"/>
        </w:rPr>
      </w:pPr>
      <w:proofErr w:type="spellStart"/>
      <w:r w:rsidRPr="00B94EF7">
        <w:rPr>
          <w:rFonts w:ascii="Arial" w:hAnsi="Arial" w:cs="Arial"/>
          <w:bCs/>
          <w:sz w:val="19"/>
          <w:szCs w:val="19"/>
        </w:rPr>
        <w:t>Nexcom</w:t>
      </w:r>
      <w:proofErr w:type="spellEnd"/>
    </w:p>
    <w:p w14:paraId="62FC2E88" w14:textId="3140DAD6" w:rsidR="00314ECE" w:rsidRPr="00B94EF7" w:rsidRDefault="00314ECE" w:rsidP="00314ECE">
      <w:pPr>
        <w:pStyle w:val="BodyTextIndent"/>
        <w:numPr>
          <w:ilvl w:val="0"/>
          <w:numId w:val="6"/>
        </w:numPr>
        <w:tabs>
          <w:tab w:val="clear" w:pos="1800"/>
          <w:tab w:val="clear" w:pos="9360"/>
          <w:tab w:val="right" w:pos="9900"/>
        </w:tabs>
        <w:rPr>
          <w:rFonts w:ascii="Arial" w:hAnsi="Arial" w:cs="Arial"/>
          <w:bCs/>
          <w:sz w:val="19"/>
          <w:szCs w:val="19"/>
        </w:rPr>
      </w:pPr>
      <w:r w:rsidRPr="00B94EF7">
        <w:rPr>
          <w:rFonts w:ascii="Arial" w:hAnsi="Arial" w:cs="Arial"/>
          <w:bCs/>
          <w:sz w:val="19"/>
          <w:szCs w:val="19"/>
        </w:rPr>
        <w:t>AIMM</w:t>
      </w:r>
    </w:p>
    <w:p w14:paraId="201804B5" w14:textId="2B122D43" w:rsidR="00314ECE" w:rsidRPr="00B94EF7" w:rsidRDefault="00314ECE" w:rsidP="00314ECE">
      <w:pPr>
        <w:pStyle w:val="BodyTextIndent"/>
        <w:numPr>
          <w:ilvl w:val="0"/>
          <w:numId w:val="6"/>
        </w:numPr>
        <w:tabs>
          <w:tab w:val="clear" w:pos="1800"/>
          <w:tab w:val="clear" w:pos="9360"/>
          <w:tab w:val="right" w:pos="9900"/>
        </w:tabs>
        <w:rPr>
          <w:rFonts w:ascii="Arial" w:hAnsi="Arial" w:cs="Arial"/>
          <w:bCs/>
          <w:sz w:val="19"/>
          <w:szCs w:val="19"/>
        </w:rPr>
      </w:pPr>
      <w:r w:rsidRPr="00B94EF7">
        <w:rPr>
          <w:rFonts w:ascii="Arial" w:hAnsi="Arial" w:cs="Arial"/>
          <w:bCs/>
          <w:sz w:val="19"/>
          <w:szCs w:val="19"/>
        </w:rPr>
        <w:t>RMLS Tech Refresh</w:t>
      </w:r>
    </w:p>
    <w:p w14:paraId="735F1D7B" w14:textId="44924671" w:rsidR="00314ECE" w:rsidRPr="00B94EF7" w:rsidRDefault="00314ECE" w:rsidP="00314ECE">
      <w:pPr>
        <w:pStyle w:val="BodyTextIndent"/>
        <w:numPr>
          <w:ilvl w:val="0"/>
          <w:numId w:val="6"/>
        </w:numPr>
        <w:tabs>
          <w:tab w:val="clear" w:pos="1800"/>
          <w:tab w:val="clear" w:pos="9360"/>
          <w:tab w:val="right" w:pos="9900"/>
        </w:tabs>
        <w:rPr>
          <w:rFonts w:ascii="Arial" w:hAnsi="Arial" w:cs="Arial"/>
          <w:bCs/>
          <w:sz w:val="19"/>
          <w:szCs w:val="19"/>
        </w:rPr>
      </w:pPr>
      <w:r w:rsidRPr="00B94EF7">
        <w:rPr>
          <w:rFonts w:ascii="Arial" w:hAnsi="Arial" w:cs="Arial"/>
          <w:bCs/>
          <w:sz w:val="19"/>
          <w:szCs w:val="19"/>
        </w:rPr>
        <w:t>National Test Equipment (NTEP)</w:t>
      </w:r>
    </w:p>
    <w:p w14:paraId="3AA544AD" w14:textId="3F92D25D" w:rsidR="00314ECE" w:rsidRPr="00B94EF7" w:rsidRDefault="00314ECE" w:rsidP="00314ECE">
      <w:pPr>
        <w:pStyle w:val="BodyTextIndent"/>
        <w:numPr>
          <w:ilvl w:val="0"/>
          <w:numId w:val="6"/>
        </w:numPr>
        <w:tabs>
          <w:tab w:val="clear" w:pos="1800"/>
          <w:tab w:val="clear" w:pos="9360"/>
          <w:tab w:val="right" w:pos="9900"/>
        </w:tabs>
        <w:rPr>
          <w:rFonts w:ascii="Arial" w:hAnsi="Arial" w:cs="Arial"/>
          <w:bCs/>
          <w:sz w:val="19"/>
          <w:szCs w:val="19"/>
        </w:rPr>
      </w:pPr>
      <w:r w:rsidRPr="00B94EF7">
        <w:rPr>
          <w:rFonts w:ascii="Arial" w:hAnsi="Arial" w:cs="Arial"/>
          <w:bCs/>
          <w:sz w:val="19"/>
          <w:szCs w:val="19"/>
        </w:rPr>
        <w:t>Mobile Asset Management Program (MAMP)</w:t>
      </w:r>
    </w:p>
    <w:p w14:paraId="7E9D133F" w14:textId="78BA9891" w:rsidR="00314ECE" w:rsidRPr="00B94EF7" w:rsidRDefault="00314ECE" w:rsidP="00314ECE">
      <w:pPr>
        <w:pStyle w:val="BodyTextIndent"/>
        <w:numPr>
          <w:ilvl w:val="0"/>
          <w:numId w:val="6"/>
        </w:numPr>
        <w:tabs>
          <w:tab w:val="clear" w:pos="1800"/>
          <w:tab w:val="clear" w:pos="9360"/>
          <w:tab w:val="right" w:pos="9900"/>
        </w:tabs>
        <w:rPr>
          <w:rFonts w:ascii="Arial" w:hAnsi="Arial" w:cs="Arial"/>
          <w:bCs/>
          <w:sz w:val="19"/>
          <w:szCs w:val="19"/>
        </w:rPr>
      </w:pPr>
      <w:r w:rsidRPr="00B94EF7">
        <w:rPr>
          <w:rFonts w:ascii="Arial" w:hAnsi="Arial" w:cs="Arial"/>
          <w:bCs/>
          <w:sz w:val="19"/>
          <w:szCs w:val="19"/>
        </w:rPr>
        <w:t>Mobile Airport Surveillance Radar (MASR)</w:t>
      </w:r>
    </w:p>
    <w:p w14:paraId="297BE278" w14:textId="39ED2925" w:rsidR="00314ECE" w:rsidRPr="00B94EF7" w:rsidRDefault="00314ECE" w:rsidP="00314ECE">
      <w:pPr>
        <w:pStyle w:val="BodyTextIndent"/>
        <w:numPr>
          <w:ilvl w:val="0"/>
          <w:numId w:val="6"/>
        </w:numPr>
        <w:tabs>
          <w:tab w:val="clear" w:pos="1800"/>
          <w:tab w:val="clear" w:pos="9360"/>
          <w:tab w:val="right" w:pos="9900"/>
        </w:tabs>
        <w:rPr>
          <w:rFonts w:ascii="Arial" w:hAnsi="Arial" w:cs="Arial"/>
          <w:bCs/>
          <w:sz w:val="19"/>
          <w:szCs w:val="19"/>
        </w:rPr>
      </w:pPr>
      <w:r w:rsidRPr="00B94EF7">
        <w:rPr>
          <w:rFonts w:ascii="Arial" w:hAnsi="Arial" w:cs="Arial"/>
          <w:bCs/>
          <w:sz w:val="19"/>
          <w:szCs w:val="19"/>
        </w:rPr>
        <w:t>Logistics Center Supply System (LCSS)</w:t>
      </w:r>
    </w:p>
    <w:p w14:paraId="5A504329" w14:textId="2BE4FB6D" w:rsidR="00314ECE" w:rsidRPr="00B94EF7" w:rsidRDefault="00CC6113" w:rsidP="00314ECE">
      <w:pPr>
        <w:pStyle w:val="BodyTextIndent"/>
        <w:numPr>
          <w:ilvl w:val="0"/>
          <w:numId w:val="6"/>
        </w:numPr>
        <w:tabs>
          <w:tab w:val="clear" w:pos="1800"/>
          <w:tab w:val="clear" w:pos="9360"/>
          <w:tab w:val="right" w:pos="9900"/>
        </w:tabs>
        <w:rPr>
          <w:rFonts w:ascii="Arial" w:hAnsi="Arial" w:cs="Arial"/>
          <w:bCs/>
          <w:sz w:val="19"/>
          <w:szCs w:val="19"/>
        </w:rPr>
      </w:pPr>
      <w:r w:rsidRPr="00B94EF7">
        <w:rPr>
          <w:rFonts w:ascii="Arial" w:hAnsi="Arial" w:cs="Arial"/>
          <w:bCs/>
          <w:sz w:val="19"/>
          <w:szCs w:val="19"/>
        </w:rPr>
        <w:t>Data Communications</w:t>
      </w:r>
    </w:p>
    <w:p w14:paraId="0A8E51C7" w14:textId="7834C4F4" w:rsidR="00CC6113" w:rsidRPr="00B94EF7" w:rsidRDefault="00CC6113" w:rsidP="00314ECE">
      <w:pPr>
        <w:pStyle w:val="BodyTextIndent"/>
        <w:numPr>
          <w:ilvl w:val="0"/>
          <w:numId w:val="6"/>
        </w:numPr>
        <w:tabs>
          <w:tab w:val="clear" w:pos="1800"/>
          <w:tab w:val="clear" w:pos="9360"/>
          <w:tab w:val="right" w:pos="9900"/>
        </w:tabs>
        <w:rPr>
          <w:rFonts w:ascii="Arial" w:hAnsi="Arial" w:cs="Arial"/>
          <w:bCs/>
          <w:sz w:val="19"/>
          <w:szCs w:val="19"/>
        </w:rPr>
      </w:pPr>
      <w:r w:rsidRPr="00B94EF7">
        <w:rPr>
          <w:rFonts w:ascii="Arial" w:hAnsi="Arial" w:cs="Arial"/>
          <w:bCs/>
          <w:sz w:val="19"/>
          <w:szCs w:val="19"/>
        </w:rPr>
        <w:t>Joint Procedures Automation Management System (JPAMS)</w:t>
      </w:r>
    </w:p>
    <w:p w14:paraId="1B74C4D8" w14:textId="72C34174" w:rsidR="00CC6113" w:rsidRPr="00B94EF7" w:rsidRDefault="00CC6113" w:rsidP="00314ECE">
      <w:pPr>
        <w:pStyle w:val="BodyTextIndent"/>
        <w:numPr>
          <w:ilvl w:val="0"/>
          <w:numId w:val="6"/>
        </w:numPr>
        <w:tabs>
          <w:tab w:val="clear" w:pos="1800"/>
          <w:tab w:val="clear" w:pos="9360"/>
          <w:tab w:val="right" w:pos="9900"/>
        </w:tabs>
        <w:rPr>
          <w:rFonts w:ascii="Arial" w:hAnsi="Arial" w:cs="Arial"/>
          <w:bCs/>
          <w:sz w:val="19"/>
          <w:szCs w:val="19"/>
        </w:rPr>
      </w:pPr>
      <w:r w:rsidRPr="00B94EF7">
        <w:rPr>
          <w:rFonts w:ascii="Arial" w:hAnsi="Arial" w:cs="Arial"/>
          <w:bCs/>
          <w:sz w:val="19"/>
          <w:szCs w:val="19"/>
        </w:rPr>
        <w:t>2-Dimensional Bar Coding (2DBC)</w:t>
      </w:r>
    </w:p>
    <w:p w14:paraId="62A12A1A" w14:textId="148919A0" w:rsidR="00425D00" w:rsidRDefault="00425D00" w:rsidP="00425D00">
      <w:pPr>
        <w:pStyle w:val="BodyTextIndent"/>
        <w:tabs>
          <w:tab w:val="clear" w:pos="1800"/>
          <w:tab w:val="clear" w:pos="9360"/>
          <w:tab w:val="right" w:pos="9900"/>
        </w:tabs>
        <w:ind w:left="0"/>
        <w:rPr>
          <w:rFonts w:ascii="Times New Roman" w:hAnsi="Times New Roman"/>
          <w:bCs/>
          <w:szCs w:val="22"/>
        </w:rPr>
      </w:pPr>
    </w:p>
    <w:p w14:paraId="5F5C6D3A" w14:textId="1604B6BD" w:rsidR="00CC6113" w:rsidRDefault="00CC6113" w:rsidP="00425D00">
      <w:pPr>
        <w:pStyle w:val="BodyTextIndent"/>
        <w:tabs>
          <w:tab w:val="clear" w:pos="1800"/>
          <w:tab w:val="clear" w:pos="9360"/>
          <w:tab w:val="right" w:pos="9900"/>
        </w:tabs>
        <w:ind w:left="0"/>
        <w:rPr>
          <w:rFonts w:ascii="Arial" w:hAnsi="Arial" w:cs="Arial"/>
          <w:bCs/>
          <w:sz w:val="19"/>
          <w:szCs w:val="19"/>
        </w:rPr>
      </w:pPr>
      <w:r w:rsidRPr="00314ECE">
        <w:rPr>
          <w:rFonts w:ascii="Arial" w:hAnsi="Arial" w:cs="Arial"/>
          <w:bCs/>
          <w:sz w:val="19"/>
          <w:szCs w:val="19"/>
        </w:rPr>
        <w:lastRenderedPageBreak/>
        <w:t>In his current role for the CLMRS programs, including AMMS, Mr. Bayer is quantifying both AMMS Maintenance Event Value Stream efficiencies, helping to reduce the time of unscheduled NAS outages, and the integrated supply chain benefits of linking maintenance and supply, conducting predictive analysis, and reducing field inventory by more than 50%.</w:t>
      </w:r>
    </w:p>
    <w:p w14:paraId="4DE32DBA" w14:textId="77777777" w:rsidR="00CC6113" w:rsidRDefault="00CC6113" w:rsidP="00425D00">
      <w:pPr>
        <w:pStyle w:val="BodyTextIndent"/>
        <w:tabs>
          <w:tab w:val="clear" w:pos="1800"/>
          <w:tab w:val="clear" w:pos="9360"/>
          <w:tab w:val="right" w:pos="9900"/>
        </w:tabs>
        <w:ind w:left="0"/>
        <w:rPr>
          <w:rFonts w:ascii="Arial" w:hAnsi="Arial" w:cs="Arial"/>
          <w:color w:val="222222"/>
          <w:sz w:val="19"/>
          <w:szCs w:val="19"/>
        </w:rPr>
      </w:pPr>
    </w:p>
    <w:p w14:paraId="531512D7" w14:textId="5A67EC51" w:rsidR="00CC6113" w:rsidRDefault="00CC6113" w:rsidP="00425D00">
      <w:pPr>
        <w:pStyle w:val="BodyTextIndent"/>
        <w:tabs>
          <w:tab w:val="clear" w:pos="1800"/>
          <w:tab w:val="clear" w:pos="9360"/>
          <w:tab w:val="right" w:pos="9900"/>
        </w:tabs>
        <w:ind w:left="0"/>
        <w:rPr>
          <w:rFonts w:ascii="Arial" w:hAnsi="Arial" w:cs="Arial"/>
          <w:color w:val="222222"/>
          <w:sz w:val="19"/>
          <w:szCs w:val="19"/>
        </w:rPr>
      </w:pPr>
      <w:r>
        <w:rPr>
          <w:rFonts w:ascii="Arial" w:hAnsi="Arial" w:cs="Arial"/>
          <w:color w:val="222222"/>
          <w:sz w:val="19"/>
          <w:szCs w:val="19"/>
        </w:rPr>
        <w:t>Mr. Bayer</w:t>
      </w:r>
      <w:r w:rsidRPr="008E5D6E">
        <w:rPr>
          <w:rFonts w:ascii="Arial" w:hAnsi="Arial" w:cs="Arial"/>
          <w:color w:val="222222"/>
          <w:sz w:val="19"/>
          <w:szCs w:val="19"/>
        </w:rPr>
        <w:t xml:space="preserve"> is currently the lead </w:t>
      </w:r>
      <w:r>
        <w:rPr>
          <w:rFonts w:ascii="Arial" w:hAnsi="Arial" w:cs="Arial"/>
          <w:color w:val="222222"/>
          <w:sz w:val="19"/>
          <w:szCs w:val="19"/>
        </w:rPr>
        <w:t xml:space="preserve">benefits analyst for the CLMRS group of programs, AMMS, and OARS, </w:t>
      </w:r>
      <w:r w:rsidRPr="008E5D6E">
        <w:rPr>
          <w:rFonts w:ascii="Arial" w:hAnsi="Arial" w:cs="Arial"/>
          <w:color w:val="222222"/>
          <w:sz w:val="19"/>
          <w:szCs w:val="19"/>
        </w:rPr>
        <w:t xml:space="preserve">responsible for </w:t>
      </w:r>
      <w:r>
        <w:rPr>
          <w:rFonts w:ascii="Arial" w:hAnsi="Arial" w:cs="Arial"/>
          <w:color w:val="222222"/>
          <w:sz w:val="19"/>
          <w:szCs w:val="19"/>
        </w:rPr>
        <w:t xml:space="preserve">identifying and evaluating program and portfolio shortfalls and quantifying program benefits that are aligned with </w:t>
      </w:r>
      <w:r w:rsidRPr="008E5D6E">
        <w:rPr>
          <w:rFonts w:ascii="Arial" w:hAnsi="Arial" w:cs="Arial"/>
          <w:color w:val="222222"/>
          <w:sz w:val="19"/>
          <w:szCs w:val="19"/>
        </w:rPr>
        <w:t>the FAA’s performance</w:t>
      </w:r>
      <w:r>
        <w:rPr>
          <w:rFonts w:ascii="Arial" w:hAnsi="Arial" w:cs="Arial"/>
          <w:color w:val="222222"/>
          <w:sz w:val="19"/>
          <w:szCs w:val="19"/>
        </w:rPr>
        <w:t xml:space="preserve"> goals. The benefits analyses are used to justify and prove the value proposition of individual programs and quantify the integrated operational value of FAA program portfolios.</w:t>
      </w:r>
      <w:r w:rsidRPr="008E5D6E">
        <w:rPr>
          <w:rFonts w:ascii="Arial" w:hAnsi="Arial" w:cs="Arial"/>
          <w:color w:val="222222"/>
          <w:sz w:val="19"/>
          <w:szCs w:val="19"/>
        </w:rPr>
        <w:t xml:space="preserve"> Activities he performs in this role include: (1) </w:t>
      </w:r>
      <w:r>
        <w:rPr>
          <w:rFonts w:ascii="Arial" w:hAnsi="Arial" w:cs="Arial"/>
          <w:color w:val="222222"/>
          <w:sz w:val="19"/>
          <w:szCs w:val="19"/>
        </w:rPr>
        <w:t>developing program value streams and mapping As-Is and To-Be operational processes to identify inefficiencies</w:t>
      </w:r>
      <w:r w:rsidRPr="008E5D6E">
        <w:rPr>
          <w:rFonts w:ascii="Arial" w:hAnsi="Arial" w:cs="Arial"/>
          <w:color w:val="222222"/>
          <w:sz w:val="19"/>
          <w:szCs w:val="19"/>
        </w:rPr>
        <w:t xml:space="preserve">; (2) </w:t>
      </w:r>
      <w:r>
        <w:rPr>
          <w:rFonts w:ascii="Arial" w:hAnsi="Arial" w:cs="Arial"/>
          <w:color w:val="222222"/>
          <w:sz w:val="19"/>
          <w:szCs w:val="19"/>
        </w:rPr>
        <w:t>quantifying program and portfolio benefits in terms of operational efficiencies, cost savings, new capabilities, increases in quantity, quality, and safety in the NAS; (3) developing, articulating, documenting, and developing presentations for program business cases and economic analyses to achieve positive program Net Present Value (NPV) and Benefits/Cost Ratio to justify business case investments.</w:t>
      </w:r>
    </w:p>
    <w:sectPr w:rsidR="00CC6113" w:rsidSect="007D09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596DDF"/>
    <w:multiLevelType w:val="multilevel"/>
    <w:tmpl w:val="8F5E6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C5512E"/>
    <w:multiLevelType w:val="hybridMultilevel"/>
    <w:tmpl w:val="2C80B13E"/>
    <w:lvl w:ilvl="0" w:tplc="04090001">
      <w:start w:val="1"/>
      <w:numFmt w:val="bullet"/>
      <w:lvlText w:val=""/>
      <w:lvlJc w:val="left"/>
      <w:pPr>
        <w:tabs>
          <w:tab w:val="num" w:pos="1470"/>
        </w:tabs>
        <w:ind w:left="1470" w:hanging="360"/>
      </w:pPr>
      <w:rPr>
        <w:rFonts w:ascii="Symbol" w:hAnsi="Symbol" w:hint="default"/>
      </w:rPr>
    </w:lvl>
    <w:lvl w:ilvl="1" w:tplc="B0007A6A">
      <w:start w:val="1"/>
      <w:numFmt w:val="bullet"/>
      <w:lvlText w:val=""/>
      <w:lvlJc w:val="left"/>
      <w:pPr>
        <w:tabs>
          <w:tab w:val="num" w:pos="1728"/>
        </w:tabs>
        <w:ind w:left="1728" w:hanging="619"/>
      </w:pPr>
      <w:rPr>
        <w:rFonts w:ascii="Symbol" w:hAnsi="Symbol"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2"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4605159"/>
    <w:multiLevelType w:val="multilevel"/>
    <w:tmpl w:val="EF34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FA197B"/>
    <w:multiLevelType w:val="hybridMultilevel"/>
    <w:tmpl w:val="81F29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D6E"/>
    <w:rsid w:val="000362EF"/>
    <w:rsid w:val="00314ECE"/>
    <w:rsid w:val="00425D00"/>
    <w:rsid w:val="00492C49"/>
    <w:rsid w:val="00557FED"/>
    <w:rsid w:val="0058312F"/>
    <w:rsid w:val="006170F6"/>
    <w:rsid w:val="007D095C"/>
    <w:rsid w:val="008B522C"/>
    <w:rsid w:val="008E5D6E"/>
    <w:rsid w:val="00AC7090"/>
    <w:rsid w:val="00B94EF7"/>
    <w:rsid w:val="00BC010C"/>
    <w:rsid w:val="00C77A8A"/>
    <w:rsid w:val="00CC6113"/>
    <w:rsid w:val="00D71DA5"/>
    <w:rsid w:val="00E21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95E6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l">
    <w:name w:val="il"/>
    <w:basedOn w:val="DefaultParagraphFont"/>
    <w:rsid w:val="008E5D6E"/>
  </w:style>
  <w:style w:type="character" w:customStyle="1" w:styleId="apple-converted-space">
    <w:name w:val="apple-converted-space"/>
    <w:basedOn w:val="DefaultParagraphFont"/>
    <w:rsid w:val="008E5D6E"/>
  </w:style>
  <w:style w:type="paragraph" w:styleId="ListParagraph">
    <w:name w:val="List Paragraph"/>
    <w:aliases w:val="Indent"/>
    <w:basedOn w:val="Normal"/>
    <w:link w:val="ListParagraphChar"/>
    <w:uiPriority w:val="34"/>
    <w:qFormat/>
    <w:rsid w:val="00425D00"/>
    <w:pPr>
      <w:ind w:left="720"/>
      <w:contextualSpacing/>
    </w:pPr>
    <w:rPr>
      <w:rFonts w:ascii="Trebuchet MS" w:eastAsia="Times New Roman" w:hAnsi="Trebuchet MS" w:cs="Times New Roman"/>
    </w:rPr>
  </w:style>
  <w:style w:type="character" w:customStyle="1" w:styleId="ListParagraphChar">
    <w:name w:val="List Paragraph Char"/>
    <w:aliases w:val="Indent Char"/>
    <w:basedOn w:val="DefaultParagraphFont"/>
    <w:link w:val="ListParagraph"/>
    <w:uiPriority w:val="34"/>
    <w:rsid w:val="00425D00"/>
    <w:rPr>
      <w:rFonts w:ascii="Trebuchet MS" w:eastAsia="Times New Roman" w:hAnsi="Trebuchet MS" w:cs="Times New Roman"/>
    </w:rPr>
  </w:style>
  <w:style w:type="paragraph" w:styleId="BodyTextIndent">
    <w:name w:val="Body Text Indent"/>
    <w:basedOn w:val="Normal"/>
    <w:link w:val="BodyTextIndentChar"/>
    <w:semiHidden/>
    <w:rsid w:val="00425D00"/>
    <w:pPr>
      <w:widowControl w:val="0"/>
      <w:tabs>
        <w:tab w:val="left" w:pos="1800"/>
        <w:tab w:val="right" w:pos="9360"/>
      </w:tabs>
      <w:ind w:left="720"/>
    </w:pPr>
    <w:rPr>
      <w:rFonts w:ascii="Century Gothic" w:eastAsia="Times New Roman" w:hAnsi="Century Gothic" w:cs="Times New Roman"/>
      <w:color w:val="000000"/>
      <w:kern w:val="28"/>
      <w:sz w:val="22"/>
      <w:szCs w:val="20"/>
    </w:rPr>
  </w:style>
  <w:style w:type="character" w:customStyle="1" w:styleId="BodyTextIndentChar">
    <w:name w:val="Body Text Indent Char"/>
    <w:basedOn w:val="DefaultParagraphFont"/>
    <w:link w:val="BodyTextIndent"/>
    <w:semiHidden/>
    <w:rsid w:val="00425D00"/>
    <w:rPr>
      <w:rFonts w:ascii="Century Gothic" w:eastAsia="Times New Roman" w:hAnsi="Century Gothic" w:cs="Times New Roman"/>
      <w:color w:val="000000"/>
      <w:kern w:val="28"/>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2137581">
      <w:bodyDiv w:val="1"/>
      <w:marLeft w:val="0"/>
      <w:marRight w:val="0"/>
      <w:marTop w:val="0"/>
      <w:marBottom w:val="0"/>
      <w:divBdr>
        <w:top w:val="none" w:sz="0" w:space="0" w:color="auto"/>
        <w:left w:val="none" w:sz="0" w:space="0" w:color="auto"/>
        <w:bottom w:val="none" w:sz="0" w:space="0" w:color="auto"/>
        <w:right w:val="none" w:sz="0" w:space="0" w:color="auto"/>
      </w:divBdr>
      <w:divsChild>
        <w:div w:id="935213334">
          <w:marLeft w:val="0"/>
          <w:marRight w:val="0"/>
          <w:marTop w:val="0"/>
          <w:marBottom w:val="0"/>
          <w:divBdr>
            <w:top w:val="none" w:sz="0" w:space="0" w:color="auto"/>
            <w:left w:val="none" w:sz="0" w:space="0" w:color="auto"/>
            <w:bottom w:val="none" w:sz="0" w:space="0" w:color="auto"/>
            <w:right w:val="none" w:sz="0" w:space="0" w:color="auto"/>
          </w:divBdr>
        </w:div>
        <w:div w:id="1868831459">
          <w:marLeft w:val="0"/>
          <w:marRight w:val="0"/>
          <w:marTop w:val="0"/>
          <w:marBottom w:val="0"/>
          <w:divBdr>
            <w:top w:val="none" w:sz="0" w:space="0" w:color="auto"/>
            <w:left w:val="none" w:sz="0" w:space="0" w:color="auto"/>
            <w:bottom w:val="none" w:sz="0" w:space="0" w:color="auto"/>
            <w:right w:val="none" w:sz="0" w:space="0" w:color="auto"/>
          </w:divBdr>
          <w:divsChild>
            <w:div w:id="331639813">
              <w:marLeft w:val="0"/>
              <w:marRight w:val="0"/>
              <w:marTop w:val="0"/>
              <w:marBottom w:val="0"/>
              <w:divBdr>
                <w:top w:val="none" w:sz="0" w:space="0" w:color="auto"/>
                <w:left w:val="none" w:sz="0" w:space="0" w:color="auto"/>
                <w:bottom w:val="none" w:sz="0" w:space="0" w:color="auto"/>
                <w:right w:val="none" w:sz="0" w:space="0" w:color="auto"/>
              </w:divBdr>
            </w:div>
            <w:div w:id="369427096">
              <w:marLeft w:val="0"/>
              <w:marRight w:val="0"/>
              <w:marTop w:val="0"/>
              <w:marBottom w:val="0"/>
              <w:divBdr>
                <w:top w:val="none" w:sz="0" w:space="0" w:color="auto"/>
                <w:left w:val="none" w:sz="0" w:space="0" w:color="auto"/>
                <w:bottom w:val="none" w:sz="0" w:space="0" w:color="auto"/>
                <w:right w:val="none" w:sz="0" w:space="0" w:color="auto"/>
              </w:divBdr>
            </w:div>
            <w:div w:id="1073509247">
              <w:marLeft w:val="0"/>
              <w:marRight w:val="0"/>
              <w:marTop w:val="0"/>
              <w:marBottom w:val="0"/>
              <w:divBdr>
                <w:top w:val="none" w:sz="0" w:space="0" w:color="auto"/>
                <w:left w:val="none" w:sz="0" w:space="0" w:color="auto"/>
                <w:bottom w:val="none" w:sz="0" w:space="0" w:color="auto"/>
                <w:right w:val="none" w:sz="0" w:space="0" w:color="auto"/>
              </w:divBdr>
              <w:divsChild>
                <w:div w:id="238367275">
                  <w:marLeft w:val="0"/>
                  <w:marRight w:val="0"/>
                  <w:marTop w:val="0"/>
                  <w:marBottom w:val="0"/>
                  <w:divBdr>
                    <w:top w:val="none" w:sz="0" w:space="0" w:color="auto"/>
                    <w:left w:val="none" w:sz="0" w:space="0" w:color="auto"/>
                    <w:bottom w:val="none" w:sz="0" w:space="0" w:color="auto"/>
                    <w:right w:val="none" w:sz="0" w:space="0" w:color="auto"/>
                  </w:divBdr>
                </w:div>
                <w:div w:id="67771756">
                  <w:marLeft w:val="0"/>
                  <w:marRight w:val="0"/>
                  <w:marTop w:val="0"/>
                  <w:marBottom w:val="0"/>
                  <w:divBdr>
                    <w:top w:val="none" w:sz="0" w:space="0" w:color="auto"/>
                    <w:left w:val="none" w:sz="0" w:space="0" w:color="auto"/>
                    <w:bottom w:val="none" w:sz="0" w:space="0" w:color="auto"/>
                    <w:right w:val="none" w:sz="0" w:space="0" w:color="auto"/>
                  </w:divBdr>
                  <w:divsChild>
                    <w:div w:id="597954924">
                      <w:marLeft w:val="0"/>
                      <w:marRight w:val="0"/>
                      <w:marTop w:val="0"/>
                      <w:marBottom w:val="0"/>
                      <w:divBdr>
                        <w:top w:val="none" w:sz="0" w:space="0" w:color="auto"/>
                        <w:left w:val="none" w:sz="0" w:space="0" w:color="auto"/>
                        <w:bottom w:val="none" w:sz="0" w:space="0" w:color="auto"/>
                        <w:right w:val="none" w:sz="0" w:space="0" w:color="auto"/>
                      </w:divBdr>
                    </w:div>
                    <w:div w:id="1591088171">
                      <w:marLeft w:val="0"/>
                      <w:marRight w:val="0"/>
                      <w:marTop w:val="0"/>
                      <w:marBottom w:val="0"/>
                      <w:divBdr>
                        <w:top w:val="none" w:sz="0" w:space="0" w:color="auto"/>
                        <w:left w:val="none" w:sz="0" w:space="0" w:color="auto"/>
                        <w:bottom w:val="none" w:sz="0" w:space="0" w:color="auto"/>
                        <w:right w:val="none" w:sz="0" w:space="0" w:color="auto"/>
                      </w:divBdr>
                    </w:div>
                    <w:div w:id="1305935932">
                      <w:marLeft w:val="0"/>
                      <w:marRight w:val="0"/>
                      <w:marTop w:val="0"/>
                      <w:marBottom w:val="0"/>
                      <w:divBdr>
                        <w:top w:val="none" w:sz="0" w:space="0" w:color="auto"/>
                        <w:left w:val="none" w:sz="0" w:space="0" w:color="auto"/>
                        <w:bottom w:val="none" w:sz="0" w:space="0" w:color="auto"/>
                        <w:right w:val="none" w:sz="0" w:space="0" w:color="auto"/>
                      </w:divBdr>
                    </w:div>
                    <w:div w:id="170031382">
                      <w:marLeft w:val="0"/>
                      <w:marRight w:val="0"/>
                      <w:marTop w:val="0"/>
                      <w:marBottom w:val="0"/>
                      <w:divBdr>
                        <w:top w:val="none" w:sz="0" w:space="0" w:color="auto"/>
                        <w:left w:val="none" w:sz="0" w:space="0" w:color="auto"/>
                        <w:bottom w:val="none" w:sz="0" w:space="0" w:color="auto"/>
                        <w:right w:val="none" w:sz="0" w:space="0" w:color="auto"/>
                      </w:divBdr>
                    </w:div>
                    <w:div w:id="1918587204">
                      <w:marLeft w:val="0"/>
                      <w:marRight w:val="0"/>
                      <w:marTop w:val="0"/>
                      <w:marBottom w:val="0"/>
                      <w:divBdr>
                        <w:top w:val="none" w:sz="0" w:space="0" w:color="auto"/>
                        <w:left w:val="none" w:sz="0" w:space="0" w:color="auto"/>
                        <w:bottom w:val="none" w:sz="0" w:space="0" w:color="auto"/>
                        <w:right w:val="none" w:sz="0" w:space="0" w:color="auto"/>
                      </w:divBdr>
                    </w:div>
                    <w:div w:id="962926851">
                      <w:marLeft w:val="0"/>
                      <w:marRight w:val="0"/>
                      <w:marTop w:val="0"/>
                      <w:marBottom w:val="0"/>
                      <w:divBdr>
                        <w:top w:val="none" w:sz="0" w:space="0" w:color="auto"/>
                        <w:left w:val="none" w:sz="0" w:space="0" w:color="auto"/>
                        <w:bottom w:val="none" w:sz="0" w:space="0" w:color="auto"/>
                        <w:right w:val="none" w:sz="0" w:space="0" w:color="auto"/>
                      </w:divBdr>
                    </w:div>
                    <w:div w:id="47877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A3A8604-1A44-4A39-924F-8231DFB3B53D}"/>
</file>

<file path=customXml/itemProps2.xml><?xml version="1.0" encoding="utf-8"?>
<ds:datastoreItem xmlns:ds="http://schemas.openxmlformats.org/officeDocument/2006/customXml" ds:itemID="{7D758E55-9BBC-4AAB-B59D-AE8DEDA2B7F3}"/>
</file>

<file path=customXml/itemProps3.xml><?xml version="1.0" encoding="utf-8"?>
<ds:datastoreItem xmlns:ds="http://schemas.openxmlformats.org/officeDocument/2006/customXml" ds:itemID="{5836811A-D4D7-4FFF-8394-45C3A6BFDD6A}"/>
</file>

<file path=docProps/app.xml><?xml version="1.0" encoding="utf-8"?>
<Properties xmlns="http://schemas.openxmlformats.org/officeDocument/2006/extended-properties" xmlns:vt="http://schemas.openxmlformats.org/officeDocument/2006/docPropsVTypes">
  <Template>Normal</Template>
  <TotalTime>0</TotalTime>
  <Pages>2</Pages>
  <Words>693</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George Bayer</cp:lastModifiedBy>
  <cp:revision>2</cp:revision>
  <dcterms:created xsi:type="dcterms:W3CDTF">2020-06-12T12:48:00Z</dcterms:created>
  <dcterms:modified xsi:type="dcterms:W3CDTF">2020-06-12T12:48:00Z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85700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