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4969AE68"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5A3116">
            <w:rPr>
              <w:rFonts w:ascii="Times New Roman" w:hAnsi="Times New Roman"/>
              <w:b/>
            </w:rPr>
            <w:t>Joseph</w:t>
          </w:r>
        </w:sdtContent>
      </w:sdt>
    </w:p>
    <w:p w14:paraId="76217A83" w14:textId="71AA547B"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5A3116">
            <w:rPr>
              <w:rFonts w:asciiTheme="minorHAnsi" w:hAnsiTheme="minorHAnsi" w:cstheme="minorHAnsi"/>
              <w:b/>
            </w:rPr>
            <w:t>Dulay</w:t>
          </w:r>
        </w:sdtContent>
      </w:sdt>
    </w:p>
    <w:p w14:paraId="00FD71A6" w14:textId="02923106"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5A3116">
            <w:rPr>
              <w:rFonts w:asciiTheme="minorHAnsi" w:hAnsiTheme="minorHAnsi" w:cstheme="minorHAnsi"/>
              <w:b/>
            </w:rPr>
            <w:t>Carino</w:t>
          </w:r>
        </w:sdtContent>
      </w:sdt>
    </w:p>
    <w:p w14:paraId="3C4D7E81" w14:textId="183B1A8E"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5A3116">
            <w:rPr>
              <w:rFonts w:asciiTheme="minorHAnsi" w:hAnsiTheme="minorHAnsi" w:cstheme="minorHAnsi"/>
            </w:rPr>
            <w:t>jcarino@cobec.com</w:t>
          </w:r>
        </w:sdtContent>
      </w:sdt>
    </w:p>
    <w:p w14:paraId="618E33B5" w14:textId="6CC2E190"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5A3116">
            <w:rPr>
              <w:rFonts w:asciiTheme="minorHAnsi" w:hAnsiTheme="minorHAnsi" w:cstheme="minorHAnsi"/>
            </w:rPr>
            <w:t>703-919-1083</w:t>
          </w:r>
        </w:sdtContent>
      </w:sdt>
    </w:p>
    <w:p w14:paraId="03FAF678" w14:textId="325840DF"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5A3116">
            <w:rPr>
              <w:rFonts w:asciiTheme="minorHAnsi" w:hAnsiTheme="minorHAnsi" w:cstheme="minorHAnsi"/>
              <w:b/>
              <w:u w:val="single"/>
            </w:rPr>
            <w:t>1</w:t>
          </w:r>
          <w:r w:rsidR="001B6D88">
            <w:rPr>
              <w:rFonts w:asciiTheme="minorHAnsi" w:hAnsiTheme="minorHAnsi" w:cstheme="minorHAnsi"/>
              <w:b/>
              <w:u w:val="single"/>
            </w:rPr>
            <w:t>9</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134EA038" w:rsidR="000B4D19" w:rsidRPr="004711F3" w:rsidRDefault="005A3116" w:rsidP="00CB0557">
      <w:pPr>
        <w:rPr>
          <w:rFonts w:asciiTheme="minorHAnsi" w:hAnsiTheme="minorHAnsi" w:cstheme="minorHAnsi"/>
          <w:b/>
          <w:u w:val="single"/>
        </w:rPr>
      </w:pPr>
      <w:r w:rsidRPr="005A3116">
        <w:rPr>
          <w:rFonts w:asciiTheme="minorHAnsi" w:hAnsiTheme="minorHAnsi" w:cstheme="minorHAnsi"/>
        </w:rPr>
        <w:t>Mr. Carino has 1</w:t>
      </w:r>
      <w:r w:rsidR="0051281A">
        <w:rPr>
          <w:rFonts w:asciiTheme="minorHAnsi" w:hAnsiTheme="minorHAnsi" w:cstheme="minorHAnsi"/>
        </w:rPr>
        <w:t>9</w:t>
      </w:r>
      <w:r w:rsidR="007F66FC">
        <w:rPr>
          <w:rFonts w:asciiTheme="minorHAnsi" w:hAnsiTheme="minorHAnsi" w:cstheme="minorHAnsi"/>
        </w:rPr>
        <w:t>+</w:t>
      </w:r>
      <w:r w:rsidRPr="005A3116">
        <w:rPr>
          <w:rFonts w:asciiTheme="minorHAnsi" w:hAnsiTheme="minorHAnsi" w:cstheme="minorHAnsi"/>
        </w:rPr>
        <w:t xml:space="preserve">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3182734E" w14:textId="77777777" w:rsidR="005A3116" w:rsidRPr="005A3116" w:rsidRDefault="005A3116" w:rsidP="005A3116">
      <w:pPr>
        <w:rPr>
          <w:rFonts w:asciiTheme="minorHAnsi" w:hAnsiTheme="minorHAnsi" w:cstheme="minorHAnsi"/>
          <w:bCs/>
        </w:rPr>
      </w:pPr>
      <w:r w:rsidRPr="005A3116">
        <w:rPr>
          <w:rFonts w:asciiTheme="minorHAnsi" w:hAnsiTheme="minorHAnsi" w:cstheme="minorHAnsi"/>
          <w:bCs/>
        </w:rPr>
        <w:t>Bachelor of Arts in Economics, University of Virginia, Charlottesville, VA 2004</w:t>
      </w:r>
    </w:p>
    <w:p w14:paraId="6756EE73" w14:textId="748E35D3" w:rsidR="000B4BA3" w:rsidRPr="004711F3" w:rsidRDefault="005A3116" w:rsidP="005A3116">
      <w:pPr>
        <w:rPr>
          <w:rFonts w:asciiTheme="minorHAnsi" w:hAnsiTheme="minorHAnsi" w:cstheme="minorHAnsi"/>
        </w:rPr>
      </w:pPr>
      <w:r w:rsidRPr="005A3116">
        <w:rPr>
          <w:rFonts w:asciiTheme="minorHAnsi" w:hAnsiTheme="minorHAnsi" w:cstheme="minorHAnsi"/>
          <w:bCs/>
        </w:rPr>
        <w:t>Bachelor of Arts in Psychology, University of Virginia, Charlottesville, VA 2004</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176E564E" w14:textId="268EFE7E" w:rsidR="005A3116" w:rsidRPr="005A3116" w:rsidRDefault="006C22F6" w:rsidP="005A3116">
      <w:pPr>
        <w:rPr>
          <w:rFonts w:asciiTheme="minorHAnsi" w:hAnsiTheme="minorHAnsi" w:cstheme="minorHAnsi"/>
          <w:b/>
          <w:iCs/>
        </w:rPr>
      </w:pPr>
      <w:r>
        <w:rPr>
          <w:rFonts w:asciiTheme="minorHAnsi" w:hAnsiTheme="minorHAnsi" w:cstheme="minorHAnsi"/>
          <w:b/>
          <w:iCs/>
        </w:rPr>
        <w:t>Principal Analyst</w:t>
      </w:r>
    </w:p>
    <w:p w14:paraId="7EF1AF98"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 xml:space="preserve">Cobec Consulting, Inc., </w:t>
      </w:r>
    </w:p>
    <w:p w14:paraId="18EA6271"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March 2014 to Present</w:t>
      </w:r>
    </w:p>
    <w:p w14:paraId="72CF4537" w14:textId="77777777" w:rsidR="005A3116" w:rsidRPr="005A3116" w:rsidRDefault="005A3116" w:rsidP="005A3116">
      <w:pPr>
        <w:rPr>
          <w:rFonts w:asciiTheme="minorHAnsi" w:hAnsiTheme="minorHAnsi" w:cstheme="minorHAnsi"/>
          <w:b/>
          <w:i/>
        </w:rPr>
      </w:pPr>
    </w:p>
    <w:p w14:paraId="149F49B7" w14:textId="72282900"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w:t>
      </w:r>
      <w:r w:rsidR="009006B7">
        <w:rPr>
          <w:rFonts w:asciiTheme="minorHAnsi" w:hAnsiTheme="minorHAnsi" w:cstheme="minorHAnsi"/>
          <w:bCs/>
          <w:iCs/>
        </w:rPr>
        <w:t xml:space="preserve">Aerospace Medical Needs Equipment (AMEN) Sustainment 4, </w:t>
      </w:r>
      <w:r w:rsidR="008C5D79">
        <w:rPr>
          <w:rFonts w:asciiTheme="minorHAnsi" w:hAnsiTheme="minorHAnsi" w:cstheme="minorHAnsi"/>
          <w:bCs/>
          <w:iCs/>
        </w:rPr>
        <w:t>National RMM (Remote Maintenance Monitoring</w:t>
      </w:r>
      <w:r w:rsidR="003F3AA5">
        <w:rPr>
          <w:rFonts w:asciiTheme="minorHAnsi" w:hAnsiTheme="minorHAnsi" w:cstheme="minorHAnsi"/>
          <w:bCs/>
          <w:iCs/>
        </w:rPr>
        <w:t>) Network (NRN),</w:t>
      </w:r>
      <w:r w:rsidR="008C5D79">
        <w:rPr>
          <w:rFonts w:asciiTheme="minorHAnsi" w:hAnsiTheme="minorHAnsi" w:cstheme="minorHAnsi"/>
          <w:bCs/>
          <w:iCs/>
        </w:rPr>
        <w:t xml:space="preserve"> </w:t>
      </w:r>
      <w:r w:rsidRPr="005A3116">
        <w:rPr>
          <w:rFonts w:asciiTheme="minorHAnsi" w:hAnsiTheme="minorHAnsi" w:cstheme="minorHAnsi"/>
          <w:bCs/>
          <w:iCs/>
        </w:rPr>
        <w:t xml:space="preserve">Automated Maintenance Management System (AMMS), Configuration Management Automation (CMA), Operational and Analysis Reporting System (OARS), and Terminal Work Package 1 (TWP1) at Federal Aviation Administration (FAA) </w:t>
      </w:r>
    </w:p>
    <w:p w14:paraId="3DDBB95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multiple program offices/teams to achieve successful Joint Resources Council (JRC) investment decisions</w:t>
      </w:r>
    </w:p>
    <w:p w14:paraId="3161F980" w14:textId="46DD5372"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Led business case cost analysis for </w:t>
      </w:r>
      <w:r w:rsidR="002869DC">
        <w:rPr>
          <w:rFonts w:asciiTheme="minorHAnsi" w:hAnsiTheme="minorHAnsi" w:cstheme="minorHAnsi"/>
          <w:bCs/>
          <w:iCs/>
        </w:rPr>
        <w:t xml:space="preserve">AMEN 4, NRN, and </w:t>
      </w:r>
      <w:r w:rsidRPr="005A3116">
        <w:rPr>
          <w:rFonts w:asciiTheme="minorHAnsi" w:hAnsiTheme="minorHAnsi" w:cstheme="minorHAnsi"/>
          <w:bCs/>
          <w:iCs/>
        </w:rPr>
        <w:t xml:space="preserve">AMMS. </w:t>
      </w:r>
      <w:r w:rsidR="007E135E">
        <w:rPr>
          <w:rFonts w:asciiTheme="minorHAnsi" w:hAnsiTheme="minorHAnsi" w:cstheme="minorHAnsi"/>
          <w:bCs/>
          <w:iCs/>
        </w:rPr>
        <w:t>Support</w:t>
      </w:r>
      <w:r w:rsidR="0056613C">
        <w:rPr>
          <w:rFonts w:asciiTheme="minorHAnsi" w:hAnsiTheme="minorHAnsi" w:cstheme="minorHAnsi"/>
          <w:bCs/>
          <w:iCs/>
        </w:rPr>
        <w:t>ed</w:t>
      </w:r>
      <w:r w:rsidR="007E135E">
        <w:rPr>
          <w:rFonts w:asciiTheme="minorHAnsi" w:hAnsiTheme="minorHAnsi" w:cstheme="minorHAnsi"/>
          <w:bCs/>
          <w:iCs/>
        </w:rPr>
        <w:t xml:space="preserve"> business case</w:t>
      </w:r>
      <w:r w:rsidR="0056613C">
        <w:rPr>
          <w:rFonts w:asciiTheme="minorHAnsi" w:hAnsiTheme="minorHAnsi" w:cstheme="minorHAnsi"/>
          <w:bCs/>
          <w:iCs/>
        </w:rPr>
        <w:t xml:space="preserve"> cost analysis</w:t>
      </w:r>
      <w:r w:rsidR="00DB1070">
        <w:rPr>
          <w:rFonts w:asciiTheme="minorHAnsi" w:hAnsiTheme="minorHAnsi" w:cstheme="minorHAnsi"/>
          <w:bCs/>
          <w:iCs/>
        </w:rPr>
        <w:t xml:space="preserve"> for CMA and OARS. Supported benefits analysis for </w:t>
      </w:r>
      <w:r w:rsidR="0036475B">
        <w:rPr>
          <w:rFonts w:asciiTheme="minorHAnsi" w:hAnsiTheme="minorHAnsi" w:cstheme="minorHAnsi"/>
          <w:bCs/>
          <w:iCs/>
        </w:rPr>
        <w:t>AMEN 4, NRN, AMMS, OARS, and TWP1.</w:t>
      </w:r>
    </w:p>
    <w:p w14:paraId="16AD7480" w14:textId="5858DF49"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program life cycle cost estimates (LCCEs) for each alternative using analogy, parametric, and build-up methodologies. </w:t>
      </w:r>
    </w:p>
    <w:p w14:paraId="175B138A" w14:textId="0CAAB40E"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budget analysis based on current funding levels and projected costs.</w:t>
      </w:r>
    </w:p>
    <w:p w14:paraId="1C096216" w14:textId="6575FBF3"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business case benefits analysis. </w:t>
      </w:r>
    </w:p>
    <w:p w14:paraId="2F04AE60" w14:textId="0B9563D6"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qualitative and quantitative benefits </w:t>
      </w:r>
      <w:r w:rsidR="00850DF0">
        <w:rPr>
          <w:rFonts w:asciiTheme="minorHAnsi" w:hAnsiTheme="minorHAnsi" w:cstheme="minorHAnsi"/>
          <w:bCs/>
          <w:iCs/>
        </w:rPr>
        <w:t>b</w:t>
      </w:r>
      <w:r w:rsidRPr="005A3116">
        <w:rPr>
          <w:rFonts w:asciiTheme="minorHAnsi" w:hAnsiTheme="minorHAnsi" w:cstheme="minorHAnsi"/>
          <w:bCs/>
          <w:iCs/>
        </w:rPr>
        <w:t xml:space="preserve">ased on each alternative. </w:t>
      </w:r>
    </w:p>
    <w:p w14:paraId="61A25E2F" w14:textId="6239C41A"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value stream analysis to quantify benefits.</w:t>
      </w:r>
    </w:p>
    <w:p w14:paraId="2D040B97" w14:textId="733B1D8D"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Developed gap analysis for benefits between alternatives.</w:t>
      </w:r>
    </w:p>
    <w:p w14:paraId="0F3D6385" w14:textId="77777777" w:rsid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detailed </w:t>
      </w:r>
      <w:proofErr w:type="spellStart"/>
      <w:r w:rsidRPr="005A3116">
        <w:rPr>
          <w:rFonts w:asciiTheme="minorHAnsi" w:hAnsiTheme="minorHAnsi" w:cstheme="minorHAnsi"/>
          <w:bCs/>
          <w:iCs/>
        </w:rPr>
        <w:t>gantt</w:t>
      </w:r>
      <w:proofErr w:type="spellEnd"/>
      <w:r w:rsidRPr="005A3116">
        <w:rPr>
          <w:rFonts w:asciiTheme="minorHAnsi" w:hAnsiTheme="minorHAnsi" w:cstheme="minorHAnsi"/>
          <w:bCs/>
          <w:iCs/>
        </w:rPr>
        <w:t xml:space="preserve"> charts to effectively communicate cost and schedule information to stakeholders</w:t>
      </w:r>
    </w:p>
    <w:p w14:paraId="52A0FE18" w14:textId="21E08725" w:rsidR="00166717" w:rsidRPr="005A3116" w:rsidRDefault="00257D8C" w:rsidP="005A3116">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Developed </w:t>
      </w:r>
      <w:r w:rsidR="00954297">
        <w:rPr>
          <w:rFonts w:asciiTheme="minorHAnsi" w:hAnsiTheme="minorHAnsi" w:cstheme="minorHAnsi"/>
          <w:bCs/>
          <w:iCs/>
        </w:rPr>
        <w:t>Tableau dashboards to allow for more informed decision making</w:t>
      </w:r>
      <w:r w:rsidR="007E135E">
        <w:rPr>
          <w:rFonts w:asciiTheme="minorHAnsi" w:hAnsiTheme="minorHAnsi" w:cstheme="minorHAnsi"/>
          <w:bCs/>
          <w:iCs/>
        </w:rPr>
        <w:t>.</w:t>
      </w:r>
    </w:p>
    <w:p w14:paraId="411F999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w:t>
      </w:r>
      <w:proofErr w:type="gramStart"/>
      <w:r w:rsidRPr="005A3116">
        <w:rPr>
          <w:rFonts w:asciiTheme="minorHAnsi" w:hAnsiTheme="minorHAnsi" w:cstheme="minorHAnsi"/>
          <w:bCs/>
          <w:iCs/>
        </w:rPr>
        <w:t>value</w:t>
      </w:r>
      <w:proofErr w:type="gramEnd"/>
      <w:r w:rsidRPr="005A3116">
        <w:rPr>
          <w:rFonts w:asciiTheme="minorHAnsi" w:hAnsiTheme="minorHAnsi" w:cstheme="minorHAnsi"/>
          <w:bCs/>
          <w:iCs/>
        </w:rPr>
        <w:t xml:space="preserve"> stream analysis questionnaire to provide additional benefits data.</w:t>
      </w:r>
    </w:p>
    <w:p w14:paraId="745513FE" w14:textId="3DE9A63B"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JRC decision.</w:t>
      </w:r>
    </w:p>
    <w:p w14:paraId="7EECF00E" w14:textId="41B1292B"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monthly contractor reports.</w:t>
      </w:r>
    </w:p>
    <w:p w14:paraId="5D333CC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CMA program independent government cost estimate (IGCE).</w:t>
      </w:r>
    </w:p>
    <w:p w14:paraId="2F91352E" w14:textId="36F524AB" w:rsidR="005A3116" w:rsidRPr="0036475B" w:rsidRDefault="005A3116" w:rsidP="0036475B">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Managed CMA costs analysis work using Jira tool.</w:t>
      </w:r>
    </w:p>
    <w:p w14:paraId="5752B1DF" w14:textId="77399206"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as hoc analysis, reports, and presentation</w:t>
      </w:r>
      <w:r w:rsidR="0036475B">
        <w:rPr>
          <w:rFonts w:asciiTheme="minorHAnsi" w:hAnsiTheme="minorHAnsi" w:cstheme="minorHAnsi"/>
          <w:bCs/>
          <w:iCs/>
        </w:rPr>
        <w:t>s.</w:t>
      </w:r>
    </w:p>
    <w:p w14:paraId="1A7E8F61" w14:textId="77777777" w:rsidR="005A3116" w:rsidRPr="005A3116" w:rsidRDefault="005A3116" w:rsidP="005A3116">
      <w:pPr>
        <w:rPr>
          <w:rFonts w:asciiTheme="minorHAnsi" w:hAnsiTheme="minorHAnsi" w:cstheme="minorHAnsi"/>
          <w:bCs/>
          <w:iCs/>
        </w:rPr>
      </w:pPr>
    </w:p>
    <w:p w14:paraId="044F4E24"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Records Examiner/Analyst</w:t>
      </w:r>
    </w:p>
    <w:p w14:paraId="71755CA5"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Forfeiture Support Associates (FSA)</w:t>
      </w:r>
    </w:p>
    <w:p w14:paraId="3E700E2B"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April 2012 to December 2013</w:t>
      </w:r>
    </w:p>
    <w:p w14:paraId="6BDC5492" w14:textId="77777777" w:rsidR="005A3116" w:rsidRPr="005A3116" w:rsidRDefault="005A3116" w:rsidP="005A3116">
      <w:pPr>
        <w:rPr>
          <w:rFonts w:asciiTheme="minorHAnsi" w:hAnsiTheme="minorHAnsi" w:cstheme="minorHAnsi"/>
          <w:b/>
          <w:i/>
        </w:rPr>
      </w:pPr>
    </w:p>
    <w:p w14:paraId="7EA553C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the Strategic Planning and Performance Analysis Unit (SPPAU) within the Directorate of Intelligence (DI) at the Federal Bureau of Investigation (FBI)</w:t>
      </w:r>
    </w:p>
    <w:p w14:paraId="278C0B7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DI programs with data analysis and development.</w:t>
      </w:r>
    </w:p>
    <w:p w14:paraId="42A12FD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support as liaison between managers and executive staff in the Strategic Management (Balanced Scorecard) process for initiatives.</w:t>
      </w:r>
    </w:p>
    <w:p w14:paraId="3CB55A3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Maintained a workforce profile database for the Intelligence Analysts and produced monthly reports.</w:t>
      </w:r>
    </w:p>
    <w:p w14:paraId="1452EDA3"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monthly statistical deliverables for various nationwide clients.</w:t>
      </w:r>
    </w:p>
    <w:p w14:paraId="4C73512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audited, and analyzed complex data sets for the Foreign Language Program’s (FLP) national workload.</w:t>
      </w:r>
    </w:p>
    <w:p w14:paraId="7EFCC47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trend analysis to help identify future needs to the program. He developed and maintained analytical tools to determine FLP resources and productivity.</w:t>
      </w:r>
    </w:p>
    <w:p w14:paraId="420AFDA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Generated reports presenting and explaining FLP metrics for executive management.</w:t>
      </w:r>
    </w:p>
    <w:p w14:paraId="3AB0B3AC"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continuous ad hoc report requests from FBI Headquarters and nationwide field offices.</w:t>
      </w:r>
    </w:p>
    <w:p w14:paraId="27E9B171" w14:textId="77777777" w:rsidR="005A3116" w:rsidRPr="005A3116" w:rsidRDefault="005A3116" w:rsidP="005A3116">
      <w:pPr>
        <w:rPr>
          <w:rFonts w:asciiTheme="minorHAnsi" w:hAnsiTheme="minorHAnsi" w:cstheme="minorHAnsi"/>
          <w:bCs/>
          <w:iCs/>
        </w:rPr>
      </w:pPr>
    </w:p>
    <w:p w14:paraId="4B48FB5D"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Senior Annuity Case Manager</w:t>
      </w:r>
    </w:p>
    <w:p w14:paraId="49E00B48"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331DA399"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September 2010 to March 2011</w:t>
      </w:r>
    </w:p>
    <w:p w14:paraId="1319E147" w14:textId="77777777" w:rsidR="005A3116" w:rsidRPr="005A3116" w:rsidRDefault="005A3116" w:rsidP="005A3116">
      <w:pPr>
        <w:rPr>
          <w:rFonts w:asciiTheme="minorHAnsi" w:hAnsiTheme="minorHAnsi" w:cstheme="minorHAnsi"/>
          <w:b/>
          <w:i/>
        </w:rPr>
      </w:pPr>
    </w:p>
    <w:p w14:paraId="62E4193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analyzed, and identified monthly mutual fund gain/loss for variable annuities.</w:t>
      </w:r>
    </w:p>
    <w:p w14:paraId="63A82433"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cost benefit model to determine acceptable risk/reward. </w:t>
      </w:r>
    </w:p>
    <w:p w14:paraId="4481B4D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Provided conflict resolution between broker and client. </w:t>
      </w:r>
    </w:p>
    <w:p w14:paraId="3F03365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Received variable annuity applications and entered information into workflow systems to set up annuity contracts. </w:t>
      </w:r>
    </w:p>
    <w:p w14:paraId="79482461"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 xml:space="preserve">Evaluated annuity paperwork to ensure that they were compliant with state and federal regulations. </w:t>
      </w:r>
    </w:p>
    <w:p w14:paraId="5FA8A4B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Assisted in the transfer of funds from other companies into Genworth Financial annuities. </w:t>
      </w:r>
    </w:p>
    <w:p w14:paraId="63C39D2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Created standard operating procedures (SOP), trainer’s guide, and knowledge assessment test for the internal and external transfer process.</w:t>
      </w:r>
    </w:p>
    <w:p w14:paraId="6271B6FD" w14:textId="77777777" w:rsidR="005A3116" w:rsidRPr="005A3116" w:rsidRDefault="005A3116" w:rsidP="005A3116">
      <w:pPr>
        <w:rPr>
          <w:rFonts w:asciiTheme="minorHAnsi" w:hAnsiTheme="minorHAnsi" w:cstheme="minorHAnsi"/>
          <w:bCs/>
          <w:iCs/>
        </w:rPr>
      </w:pPr>
    </w:p>
    <w:p w14:paraId="3F85FA7A"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Annuity Case Manager</w:t>
      </w:r>
    </w:p>
    <w:p w14:paraId="11E6E9BF"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62A20C8A"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January 2006 to February 2009</w:t>
      </w:r>
    </w:p>
    <w:p w14:paraId="7DC80742" w14:textId="77777777" w:rsidR="005A3116" w:rsidRPr="005A3116" w:rsidRDefault="005A3116" w:rsidP="005A3116">
      <w:pPr>
        <w:rPr>
          <w:rFonts w:asciiTheme="minorHAnsi" w:hAnsiTheme="minorHAnsi" w:cstheme="minorHAnsi"/>
          <w:b/>
          <w:i/>
        </w:rPr>
      </w:pPr>
    </w:p>
    <w:p w14:paraId="7DCB7C3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Collected and analyzed performance data utilizing Excel to ensure that the standard operating procedures were producing favorable results based on calculated estimates. </w:t>
      </w:r>
    </w:p>
    <w:p w14:paraId="026932F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Excel spreadsheets to analyze performance data to compare the standard operating procedures to their forecasted estimates. </w:t>
      </w:r>
    </w:p>
    <w:p w14:paraId="18D4A6EA"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Processed variable annuities and incoming fund transfers while staying within compliance of Securities &amp; Exchange Commission (SEC) regulations. </w:t>
      </w:r>
    </w:p>
    <w:p w14:paraId="3114248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performance trends and briefed management to help forecast department work volume capacity. </w:t>
      </w:r>
    </w:p>
    <w:p w14:paraId="6CCAC88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Reviewed variable annuity applications and inputted information into workflow systems. </w:t>
      </w:r>
    </w:p>
    <w:p w14:paraId="3A7CC42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Ensured that all annuity paperwork was compliant with state and federal regulations. </w:t>
      </w:r>
    </w:p>
    <w:p w14:paraId="5F7EF56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Assisted in the transfer of funds from other companies into Genworth Financial annuities. </w:t>
      </w:r>
    </w:p>
    <w:p w14:paraId="249917F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Communicated with brokers to expedite the issue of contracts. </w:t>
      </w:r>
    </w:p>
    <w:p w14:paraId="2039CE6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Resolved complex broker and customer dilemmas working with various sectors of the company.</w:t>
      </w:r>
    </w:p>
    <w:p w14:paraId="64B1080F" w14:textId="77777777" w:rsidR="005A3116" w:rsidRPr="005A3116" w:rsidRDefault="005A3116" w:rsidP="005A3116">
      <w:pPr>
        <w:rPr>
          <w:rFonts w:asciiTheme="minorHAnsi" w:hAnsiTheme="minorHAnsi" w:cstheme="minorHAnsi"/>
          <w:b/>
          <w:iCs/>
        </w:rPr>
      </w:pPr>
    </w:p>
    <w:p w14:paraId="768F06D4"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Transaction Specialist</w:t>
      </w:r>
    </w:p>
    <w:p w14:paraId="6805FBFB"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48A0CDE2"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August 2004 to January 2006</w:t>
      </w:r>
    </w:p>
    <w:p w14:paraId="5C07410C" w14:textId="77777777" w:rsidR="005A3116" w:rsidRPr="005A3116" w:rsidRDefault="005A3116" w:rsidP="005A3116">
      <w:pPr>
        <w:rPr>
          <w:rFonts w:asciiTheme="minorHAnsi" w:hAnsiTheme="minorHAnsi" w:cstheme="minorHAnsi"/>
          <w:b/>
          <w:i/>
        </w:rPr>
      </w:pPr>
    </w:p>
    <w:p w14:paraId="1D57636C"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an Excel model with Business Objects document inputs to calculate monthly, quarterly, and annual statistics for internal quality reports. </w:t>
      </w:r>
    </w:p>
    <w:p w14:paraId="3C8DD59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the causes of the defects in the transfer process and checked for anomalies to determine how to increase the monthly 6 Sigma levels for incoming transfers for both fixed and variable annuity contracts. </w:t>
      </w:r>
    </w:p>
    <w:p w14:paraId="2847D3E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an automated reporting procedure in Excel for the compliance of transfers. </w:t>
      </w:r>
    </w:p>
    <w:p w14:paraId="66991AC9"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Worked with Genworth Compliance to create a more efficient incoming transfer process. </w:t>
      </w:r>
    </w:p>
    <w:p w14:paraId="1AA57101"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Initiated incoming transfers from external companies into both fixed and variable annuity contracts. </w:t>
      </w:r>
    </w:p>
    <w:p w14:paraId="57ED00F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Provided quality controls for the transfer process.</w:t>
      </w:r>
    </w:p>
    <w:p w14:paraId="07D91DCA" w14:textId="2DE1912B" w:rsidR="00CB0557" w:rsidRPr="005A3116" w:rsidRDefault="005A3116" w:rsidP="005A3116">
      <w:pPr>
        <w:rPr>
          <w:rFonts w:asciiTheme="minorHAnsi" w:hAnsiTheme="minorHAnsi" w:cstheme="minorHAnsi"/>
          <w:bCs/>
          <w:iCs/>
        </w:rPr>
      </w:pPr>
      <w:r w:rsidRPr="005A3116">
        <w:rPr>
          <w:rFonts w:asciiTheme="minorHAnsi" w:hAnsiTheme="minorHAnsi" w:cstheme="minorHAnsi"/>
          <w:bCs/>
          <w:iCs/>
        </w:rPr>
        <w:t>Collected and analyzed performance data utilizing Excel to ensure that the standard operating procedures were producing favorable results based on calculated estimates.</w:t>
      </w:r>
      <w:r w:rsidR="00E803C3" w:rsidRPr="005A3116">
        <w:rPr>
          <w:rFonts w:asciiTheme="minorHAnsi" w:hAnsiTheme="minorHAnsi" w:cstheme="minorHAnsi"/>
        </w:rPr>
        <w:t xml:space="preserve"> </w:t>
      </w:r>
    </w:p>
    <w:p w14:paraId="02DEB8A6" w14:textId="4BE27FD2" w:rsidR="00CB0557" w:rsidRPr="004711F3" w:rsidRDefault="00CB0557" w:rsidP="53BA61C9">
      <w:pPr>
        <w:rPr>
          <w:rFonts w:asciiTheme="minorHAnsi" w:hAnsiTheme="minorHAnsi" w:cstheme="minorBidi"/>
          <w:b/>
          <w:bCs/>
          <w:u w:val="single"/>
        </w:rPr>
      </w:pPr>
    </w:p>
    <w:p w14:paraId="4266E8BB" w14:textId="5F89EF2C"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@Risk</w:t>
      </w:r>
      <w:r w:rsidR="005A3116">
        <w:rPr>
          <w:rFonts w:asciiTheme="minorHAnsi" w:hAnsiTheme="minorHAnsi" w:cstheme="minorBidi"/>
          <w:bCs/>
          <w:u w:val="single"/>
        </w:rPr>
        <w:t>, MS Excel</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58A19304" w14:textId="772392CD" w:rsidR="005A3116" w:rsidRPr="005A3116" w:rsidRDefault="005A3116" w:rsidP="005A3116">
      <w:pPr>
        <w:numPr>
          <w:ilvl w:val="0"/>
          <w:numId w:val="1"/>
        </w:numPr>
        <w:rPr>
          <w:rFonts w:asciiTheme="minorHAnsi" w:hAnsiTheme="minorHAnsi" w:cstheme="minorHAnsi"/>
        </w:rPr>
      </w:pPr>
      <w:r w:rsidRPr="005A3116">
        <w:rPr>
          <w:rFonts w:asciiTheme="minorHAnsi" w:hAnsiTheme="minorHAnsi" w:cstheme="minorHAnsi"/>
        </w:rPr>
        <w:t>Certified Cost Estimator/Analyst (CCE/A), International Cost Estimating &amp; Analysis Association (ICEAA), 2018</w:t>
      </w:r>
      <w:r w:rsidR="001B6D88">
        <w:rPr>
          <w:rFonts w:asciiTheme="minorHAnsi" w:hAnsiTheme="minorHAnsi" w:cstheme="minorHAnsi"/>
        </w:rPr>
        <w:t xml:space="preserve"> (recertification 2023)</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718687D3" w14:textId="77777777" w:rsidR="005A3116" w:rsidRPr="005A3116" w:rsidRDefault="005A3116" w:rsidP="005A3116">
      <w:pPr>
        <w:pStyle w:val="ListParagraph"/>
        <w:numPr>
          <w:ilvl w:val="0"/>
          <w:numId w:val="1"/>
        </w:numPr>
        <w:rPr>
          <w:rFonts w:asciiTheme="minorHAnsi" w:hAnsiTheme="minorHAnsi" w:cstheme="minorHAnsi"/>
        </w:rPr>
      </w:pPr>
      <w:r w:rsidRPr="005A3116">
        <w:rPr>
          <w:rFonts w:asciiTheme="minorHAnsi" w:hAnsiTheme="minorHAnsi" w:cstheme="minorHAnsi"/>
        </w:rPr>
        <w:t>International Cost Estimating &amp; Analysis Association (ICEAA), 2014-present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88573" w14:textId="77777777" w:rsidR="00C97C98" w:rsidRDefault="00C97C98" w:rsidP="00FB7BE6">
      <w:r>
        <w:separator/>
      </w:r>
    </w:p>
  </w:endnote>
  <w:endnote w:type="continuationSeparator" w:id="0">
    <w:p w14:paraId="0B6FAC1D" w14:textId="77777777" w:rsidR="00C97C98" w:rsidRDefault="00C97C9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5F87" w14:textId="77777777" w:rsidR="00C97C98" w:rsidRDefault="00C97C98" w:rsidP="00FB7BE6">
      <w:r>
        <w:separator/>
      </w:r>
    </w:p>
  </w:footnote>
  <w:footnote w:type="continuationSeparator" w:id="0">
    <w:p w14:paraId="0FA8093A" w14:textId="77777777" w:rsidR="00C97C98" w:rsidRDefault="00C97C9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95119">
    <w:abstractNumId w:val="18"/>
  </w:num>
  <w:num w:numId="2" w16cid:durableId="1283264849">
    <w:abstractNumId w:val="3"/>
  </w:num>
  <w:num w:numId="3" w16cid:durableId="557403275">
    <w:abstractNumId w:val="2"/>
  </w:num>
  <w:num w:numId="4" w16cid:durableId="1726298934">
    <w:abstractNumId w:val="23"/>
  </w:num>
  <w:num w:numId="5" w16cid:durableId="1720469303">
    <w:abstractNumId w:val="0"/>
  </w:num>
  <w:num w:numId="6" w16cid:durableId="876628299">
    <w:abstractNumId w:val="14"/>
  </w:num>
  <w:num w:numId="7" w16cid:durableId="867177099">
    <w:abstractNumId w:val="12"/>
  </w:num>
  <w:num w:numId="8" w16cid:durableId="714699109">
    <w:abstractNumId w:val="22"/>
  </w:num>
  <w:num w:numId="9" w16cid:durableId="1008337875">
    <w:abstractNumId w:val="1"/>
  </w:num>
  <w:num w:numId="10" w16cid:durableId="601497426">
    <w:abstractNumId w:val="20"/>
  </w:num>
  <w:num w:numId="11" w16cid:durableId="1116021551">
    <w:abstractNumId w:val="19"/>
  </w:num>
  <w:num w:numId="12" w16cid:durableId="1829327688">
    <w:abstractNumId w:val="10"/>
  </w:num>
  <w:num w:numId="13" w16cid:durableId="1139880732">
    <w:abstractNumId w:val="4"/>
  </w:num>
  <w:num w:numId="14" w16cid:durableId="1649166919">
    <w:abstractNumId w:val="6"/>
  </w:num>
  <w:num w:numId="15" w16cid:durableId="93867620">
    <w:abstractNumId w:val="11"/>
  </w:num>
  <w:num w:numId="16" w16cid:durableId="1749884575">
    <w:abstractNumId w:val="21"/>
  </w:num>
  <w:num w:numId="17" w16cid:durableId="1210459185">
    <w:abstractNumId w:val="24"/>
  </w:num>
  <w:num w:numId="18" w16cid:durableId="962926899">
    <w:abstractNumId w:val="15"/>
  </w:num>
  <w:num w:numId="19" w16cid:durableId="120924422">
    <w:abstractNumId w:val="8"/>
  </w:num>
  <w:num w:numId="20" w16cid:durableId="1690446713">
    <w:abstractNumId w:val="7"/>
  </w:num>
  <w:num w:numId="21" w16cid:durableId="1358776484">
    <w:abstractNumId w:val="13"/>
  </w:num>
  <w:num w:numId="22" w16cid:durableId="1124467502">
    <w:abstractNumId w:val="5"/>
  </w:num>
  <w:num w:numId="23" w16cid:durableId="402218613">
    <w:abstractNumId w:val="9"/>
  </w:num>
  <w:num w:numId="24" w16cid:durableId="1433477478">
    <w:abstractNumId w:val="17"/>
  </w:num>
  <w:num w:numId="25" w16cid:durableId="1101340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66717"/>
    <w:rsid w:val="001B6D88"/>
    <w:rsid w:val="001D061D"/>
    <w:rsid w:val="001E79DA"/>
    <w:rsid w:val="002214B1"/>
    <w:rsid w:val="00226F5A"/>
    <w:rsid w:val="00257D8C"/>
    <w:rsid w:val="00263DB3"/>
    <w:rsid w:val="00264DCC"/>
    <w:rsid w:val="002869DC"/>
    <w:rsid w:val="002A46EC"/>
    <w:rsid w:val="002D1A1E"/>
    <w:rsid w:val="00325333"/>
    <w:rsid w:val="0036311B"/>
    <w:rsid w:val="0036345A"/>
    <w:rsid w:val="0036475B"/>
    <w:rsid w:val="003C3FBF"/>
    <w:rsid w:val="003F3AA5"/>
    <w:rsid w:val="00412785"/>
    <w:rsid w:val="004711F3"/>
    <w:rsid w:val="004740AC"/>
    <w:rsid w:val="004C3B3B"/>
    <w:rsid w:val="004D0F3F"/>
    <w:rsid w:val="0051281A"/>
    <w:rsid w:val="0056613C"/>
    <w:rsid w:val="00577BEA"/>
    <w:rsid w:val="005A3116"/>
    <w:rsid w:val="005B3F20"/>
    <w:rsid w:val="00610F5A"/>
    <w:rsid w:val="006560DB"/>
    <w:rsid w:val="00656F65"/>
    <w:rsid w:val="00664954"/>
    <w:rsid w:val="0067782B"/>
    <w:rsid w:val="006A31E6"/>
    <w:rsid w:val="006C22F6"/>
    <w:rsid w:val="00716DDC"/>
    <w:rsid w:val="00737EAE"/>
    <w:rsid w:val="0076600D"/>
    <w:rsid w:val="007C17E6"/>
    <w:rsid w:val="007C2301"/>
    <w:rsid w:val="007E135E"/>
    <w:rsid w:val="007F66FC"/>
    <w:rsid w:val="00807750"/>
    <w:rsid w:val="00850DF0"/>
    <w:rsid w:val="008858AE"/>
    <w:rsid w:val="008C5D79"/>
    <w:rsid w:val="009006B7"/>
    <w:rsid w:val="0093770A"/>
    <w:rsid w:val="00954297"/>
    <w:rsid w:val="009A133C"/>
    <w:rsid w:val="009A2AE1"/>
    <w:rsid w:val="009B4545"/>
    <w:rsid w:val="00A05B8D"/>
    <w:rsid w:val="00A945C0"/>
    <w:rsid w:val="00AC6648"/>
    <w:rsid w:val="00AF3976"/>
    <w:rsid w:val="00B6163A"/>
    <w:rsid w:val="00B6455B"/>
    <w:rsid w:val="00B6526A"/>
    <w:rsid w:val="00B93749"/>
    <w:rsid w:val="00BB0E94"/>
    <w:rsid w:val="00C12A49"/>
    <w:rsid w:val="00C85743"/>
    <w:rsid w:val="00C97C98"/>
    <w:rsid w:val="00CA3266"/>
    <w:rsid w:val="00CB0557"/>
    <w:rsid w:val="00D34833"/>
    <w:rsid w:val="00D703A8"/>
    <w:rsid w:val="00D85084"/>
    <w:rsid w:val="00DB1070"/>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A43BE"/>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059D"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059D"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5D186B"/>
    <w:rsid w:val="007C17E6"/>
    <w:rsid w:val="008437A3"/>
    <w:rsid w:val="00AC15CB"/>
    <w:rsid w:val="00BC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43EE61B6-B340-4A80-A1F8-80D68E75A0D1}"/>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9</TotalTime>
  <Pages>4</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Joe Carino</cp:lastModifiedBy>
  <cp:revision>16</cp:revision>
  <cp:lastPrinted>2014-02-04T19:23:00Z</cp:lastPrinted>
  <dcterms:created xsi:type="dcterms:W3CDTF">2025-07-16T19:18:00Z</dcterms:created>
  <dcterms:modified xsi:type="dcterms:W3CDTF">2025-07-16T19:27:00Z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119500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