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3.png" ContentType="image/png"/>
  <Override PartName="/word/media/rId47.png" ContentType="image/png"/>
  <Override PartName="/word/media/rId19.png" ContentType="image/png"/>
  <Override PartName="/word/media/rId3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2026-09-21</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ind w:left="360"/>
          </w:pPr>
          <w:hyperlink w:anchor="Xb09dd14d1cf96e7fd7c82d4dc072fe45e824908">
            <w:r>
              <w:t xml:space="preserve">Chapter Status</w:t>
            </w:r>
          </w:hyperlink>
        </w:p>
        <w:p>
          <w:pPr>
            <w:spacing w:after="60"/>
          </w:pPr>
          <w:hyperlink w:anchor="preface">
            <w:r>
              <w:t xml:space="preserve">Preface</w:t>
            </w:r>
          </w:hyperlink>
        </w:p>
        <w:p>
          <w:pPr>
            <w:spacing w:after="60"/>
            <w:ind w:left="360"/>
          </w:pPr>
          <w:hyperlink w:anchor="Xb8b95d4b88fe185e018349e569b4efa2e7ef3dd">
            <w:r>
              <w:t xml:space="preserve">Purpose</w:t>
            </w:r>
          </w:hyperlink>
        </w:p>
        <w:p>
          <w:pPr>
            <w:spacing w:after="60"/>
            <w:ind w:left="360"/>
          </w:pPr>
          <w:hyperlink w:anchor="Xd3eb036a852ae4abd9de591cc51a28510ade18b">
            <w:r>
              <w:t xml:space="preserve">Audience</w:t>
            </w:r>
          </w:hyperlink>
        </w:p>
        <w:p>
          <w:pPr>
            <w:spacing w:after="60"/>
            <w:ind w:left="360"/>
          </w:pPr>
          <w:hyperlink w:anchor="Xe500cd29a7f5cd82524081b526840932e91bc92">
            <w:r>
              <w:t xml:space="preserve">Sources and Source of Truth</w:t>
            </w:r>
          </w:hyperlink>
        </w:p>
        <w:p>
          <w:pPr>
            <w:spacing w:after="60"/>
            <w:ind w:left="360"/>
          </w:pPr>
          <w:hyperlink w:anchor="X092135ba5a88783865c456c6e3593fb42502819">
            <w:r>
              <w:t xml:space="preserve">Conventions</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r>
            <w:fldChar w:fldCharType="end"/>
          </w:r>
        </w:p>
      </w:sdtContent>
    </w:sdt>
    <w:p xmlns:w="http://schemas.openxmlformats.org/wordprocessingml/2006/main">
      <w:r>
        <w:br w:type="page"/>
      </w:r>
    </w:p>
    <w:bookmarkStart w:id="11" w:name="document-control"/>
    <w:p>
      <w:pPr>
        <w:pStyle w:val="Heading1"/>
      </w:pPr>
      <w:r>
        <w:t xml:space="preserve">Document Control</w:t>
      </w:r>
    </w:p>
    <w:bookmarkStart w:id="9" w:name="X7704236ba72ed8cc2b9a9e238d27c640b9b6528"/>
    <w:p>
      <w:pPr>
        <w:pStyle w:val="Heading2"/>
      </w:pPr>
      <w:r>
        <w:t xml:space="preserve">Revision History</w:t>
      </w:r>
    </w:p>
    <w:bookmarkEnd w:id="9"/>
    <w:bookmarkStart w:id="10" w:name="Xb09dd14d1cf96e7fd7c82d4dc072fe45e824908"/>
    <w:p>
      <w:pPr>
        <w:pStyle w:val="Heading2"/>
      </w:pPr>
      <w:r>
        <w:t xml:space="preserve">Chapter Status</w:t>
      </w:r>
    </w:p>
    <w:bookmarkEnd w:id="10"/>
    <w:bookmarkEnd w:id="11"/>
    <w:bookmarkStart w:id="16" w:name="preface"/>
    <w:p>
      <w:pPr>
        <w:pStyle w:val="Heading1"/>
      </w:pPr>
      <w:r>
        <w:t xml:space="preserve">Preface</w:t>
      </w:r>
    </w:p>
    <w:bookmarkStart w:id="12" w:name="Xb8b95d4b88fe185e018349e569b4efa2e7ef3dd"/>
    <w:p>
      <w:pPr>
        <w:pStyle w:val="Heading2"/>
      </w:pPr>
      <w:r>
        <w:t xml:space="preserve">Purpose</w:t>
      </w:r>
    </w:p>
    <w:bookmarkEnd w:id="12"/>
    <w:bookmarkStart w:id="13" w:name="Xd3eb036a852ae4abd9de591cc51a28510ade18b"/>
    <w:p>
      <w:pPr>
        <w:pStyle w:val="Heading2"/>
      </w:pPr>
      <w:r>
        <w:t xml:space="preserve">Audience</w:t>
      </w:r>
    </w:p>
    <w:bookmarkEnd w:id="13"/>
    <w:bookmarkStart w:id="14" w:name="Xe500cd29a7f5cd82524081b526840932e91bc92"/>
    <w:p>
      <w:pPr>
        <w:pStyle w:val="Heading2"/>
      </w:pPr>
      <w:r>
        <w:t xml:space="preserve">Sources and Source of Truth</w:t>
      </w:r>
    </w:p>
    <w:bookmarkEnd w:id="14"/>
    <w:bookmarkStart w:id="15" w:name="X092135ba5a88783865c456c6e3593fb42502819"/>
    <w:p>
      <w:pPr>
        <w:pStyle w:val="Heading2"/>
      </w:pPr>
      <w:r>
        <w:t xml:space="preserve">Conventions</w:t>
      </w:r>
    </w:p>
    <w:bookmarkEnd w:id="15"/>
    <w:bookmarkEnd w:id="16"/>
    <w:bookmarkStart w:id="57" w:name="ch-et-soc-1-overview"/>
    <w:p>
      <w:pPr>
        <w:pStyle w:val="Heading1"/>
      </w:pPr>
      <w:r>
        <w:rPr>
          <w:rStyle w:val="SectionNumber"/>
        </w:rPr>
        <w:t xml:space="preserve">1</w:t>
      </w:r>
      <w:r>
        <w:tab/>
      </w:r>
      <w:r>
        <w:t xml:space="preserve">ET-SoC-1 Overview</w:t>
      </w:r>
    </w:p>
    <w:bookmarkStart w:id="18"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1"/>
        </w:numPr>
      </w:pPr>
      <w:r>
        <w:t xml:space="preserve">1,088 ET-Minion cores for ML computation</w:t>
      </w:r>
    </w:p>
    <w:p>
      <w:pPr>
        <w:numPr>
          <w:ilvl w:val="0"/>
          <w:numId w:val="1001"/>
        </w:numPr>
      </w:pPr>
      <w:r>
        <w:t xml:space="preserve">4 ET-Maxion cores for management and general-purpose tasks</w:t>
      </w:r>
    </w:p>
    <w:p>
      <w:pPr>
        <w:numPr>
          <w:ilvl w:val="0"/>
          <w:numId w:val="1001"/>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7"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140 MB. Each 1 MB block is configurable as L2 cache, as part of the chip-wide L3 cache, or as scratchpad memory.</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7"/>
    <w:bookmarkEnd w:id="18"/>
    <w:bookmarkStart w:id="39"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2"/>
        </w:numPr>
      </w:pPr>
      <w:r>
        <w:rPr>
          <w:b/>
          <w:bCs/>
        </w:rPr>
        <w:t xml:space="preserve">ET-Minion core</w:t>
      </w:r>
    </w:p>
    <w:p>
      <w:pPr>
        <w:numPr>
          <w:ilvl w:val="0"/>
          <w:numId w:val="1002"/>
        </w:numPr>
      </w:pPr>
      <w:r>
        <w:rPr>
          <w:b/>
          <w:bCs/>
        </w:rPr>
        <w:t xml:space="preserve">Neighborhood</w:t>
      </w:r>
      <w:r>
        <w:t xml:space="preserve">: 8 ET-Minion cores</w:t>
      </w:r>
    </w:p>
    <w:p>
      <w:pPr>
        <w:numPr>
          <w:ilvl w:val="0"/>
          <w:numId w:val="1002"/>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22" w:name="fig-ch1-hierarchy"/>
    <w:p>
      <w:pPr>
        <w:pStyle w:val="CaptionedFigure"/>
      </w:pPr>
      <w:r>
        <w:drawing>
          <wp:inline>
            <wp:extent cx="5334000" cy="5075126"/>
            <wp:effectExtent b="0" l="0" r="0" t="0"/>
            <wp:docPr descr="ET-Minion hierarchy" title="" id="20" name="Picture"/>
            <a:graphic>
              <a:graphicData uri="http://schemas.openxmlformats.org/drawingml/2006/picture">
                <pic:pic>
                  <pic:nvPicPr>
                    <pic:cNvPr descr="images/ch01/fig-hierarchy.png" id="21" name="Picture"/>
                    <pic:cNvPicPr>
                      <a:picLocks noChangeArrowheads="1" noChangeAspect="1"/>
                    </pic:cNvPicPr>
                  </pic:nvPicPr>
                  <pic:blipFill>
                    <a:blip r:embed="rId19"/>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22"/>
    <w:bookmarkStart w:id="27"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3"/>
        </w:numPr>
      </w:pPr>
      <w:r>
        <w:t xml:space="preserve">Two hardware threads (harts)</w:t>
      </w:r>
    </w:p>
    <w:p>
      <w:pPr>
        <w:numPr>
          <w:ilvl w:val="0"/>
          <w:numId w:val="1003"/>
        </w:numPr>
      </w:pPr>
      <w:r>
        <w:t xml:space="preserve">4 KB private L1 data cache, partly configurable as scratchpad memory</w:t>
      </w:r>
    </w:p>
    <w:p>
      <w:pPr>
        <w:numPr>
          <w:ilvl w:val="0"/>
          <w:numId w:val="1003"/>
        </w:numPr>
      </w:pPr>
      <w:r>
        <w:t xml:space="preserve">Vector processing unit (VPU) with eight identical lanes operating in lock-step. Each lane contains:</w:t>
      </w:r>
    </w:p>
    <w:p>
      <w:pPr>
        <w:numPr>
          <w:ilvl w:val="1"/>
          <w:numId w:val="1004"/>
        </w:numPr>
      </w:pPr>
      <w:r>
        <w:t xml:space="preserve">Floating-point multiply-add unit (FMA): one 32-bit or two 16-bit operations</w:t>
      </w:r>
    </w:p>
    <w:p>
      <w:pPr>
        <w:numPr>
          <w:ilvl w:val="1"/>
          <w:numId w:val="1004"/>
        </w:numPr>
      </w:pPr>
      <w:r>
        <w:t xml:space="preserve">Two integer multiply-add units (IMA): four 8-bit multiply-accumulates each</w:t>
      </w:r>
    </w:p>
    <w:p>
      <w:pPr>
        <w:numPr>
          <w:ilvl w:val="1"/>
          <w:numId w:val="1004"/>
        </w:numPr>
      </w:pPr>
      <w:r>
        <w:t xml:space="preserve">Integer unit (INT)</w:t>
      </w:r>
    </w:p>
    <w:p>
      <w:pPr>
        <w:numPr>
          <w:ilvl w:val="1"/>
          <w:numId w:val="1004"/>
        </w:numPr>
      </w:pPr>
      <w:r>
        <w:t xml:space="preserve">Transcendental unit (TRANS)</w:t>
      </w:r>
    </w:p>
    <w:p>
      <w:pPr>
        <w:numPr>
          <w:ilvl w:val="0"/>
          <w:numId w:val="1003"/>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5"/>
        </w:numPr>
      </w:pPr>
      <w:r>
        <w:rPr>
          <w:b/>
          <w:bCs/>
        </w:rPr>
        <w:t xml:space="preserve">Front end (FE)</w:t>
      </w:r>
      <w:r>
        <w:t xml:space="preserve">: fetches instructions from the shared instruction cache and decodes them</w:t>
      </w:r>
    </w:p>
    <w:p>
      <w:pPr>
        <w:numPr>
          <w:ilvl w:val="0"/>
          <w:numId w:val="1005"/>
        </w:numPr>
      </w:pPr>
      <w:r>
        <w:rPr>
          <w:b/>
          <w:bCs/>
        </w:rPr>
        <w:t xml:space="preserve">Integer pipeline</w:t>
      </w:r>
    </w:p>
    <w:p>
      <w:pPr>
        <w:numPr>
          <w:ilvl w:val="0"/>
          <w:numId w:val="1005"/>
        </w:numPr>
      </w:pPr>
      <w:r>
        <w:rPr>
          <w:b/>
          <w:bCs/>
        </w:rPr>
        <w:t xml:space="preserve">L1 data cache and scratchpad</w:t>
      </w:r>
    </w:p>
    <w:p>
      <w:pPr>
        <w:numPr>
          <w:ilvl w:val="0"/>
          <w:numId w:val="1005"/>
        </w:numPr>
      </w:pPr>
      <w:r>
        <w:rPr>
          <w:b/>
          <w:bCs/>
        </w:rPr>
        <w:t xml:space="preserve">VPU</w:t>
      </w:r>
    </w:p>
    <w:bookmarkStart w:id="26" w:name="fig-ch1-et-minion"/>
    <w:p>
      <w:pPr>
        <w:pStyle w:val="CaptionedFigure"/>
      </w:pPr>
      <w:r>
        <w:drawing>
          <wp:inline>
            <wp:extent cx="5334000" cy="4591103"/>
            <wp:effectExtent b="0" l="0" r="0" t="0"/>
            <wp:docPr descr="ET-Minion core" title="" id="24" name="Picture"/>
            <a:graphic>
              <a:graphicData uri="http://schemas.openxmlformats.org/drawingml/2006/picture">
                <pic:pic>
                  <pic:nvPicPr>
                    <pic:cNvPr descr="images/ch01/fig-et-minion.png" id="25" name="Picture"/>
                    <pic:cNvPicPr>
                      <a:picLocks noChangeArrowheads="1" noChangeAspect="1"/>
                    </pic:cNvPicPr>
                  </pic:nvPicPr>
                  <pic:blipFill>
                    <a:blip r:embed="rId23"/>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6"/>
    <w:bookmarkEnd w:id="27"/>
    <w:bookmarkStart w:id="32"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6"/>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6"/>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6"/>
        </w:numPr>
      </w:pPr>
      <w:r>
        <w:rPr>
          <w:b/>
          <w:bCs/>
        </w:rPr>
        <w:t xml:space="preserve">Page-table walkers (PTWs)</w:t>
      </w:r>
      <w:r>
        <w:t xml:space="preserve">: two, each shared by four cores. Each PTW serves the data caches of its four cores and the instruction-cache side.</w:t>
      </w:r>
    </w:p>
    <w:p>
      <w:pPr>
        <w:numPr>
          <w:ilvl w:val="0"/>
          <w:numId w:val="1006"/>
        </w:numPr>
      </w:pPr>
      <w:r>
        <w:rPr>
          <w:b/>
          <w:bCs/>
        </w:rPr>
        <w:t xml:space="preserve">Request/response path</w:t>
      </w:r>
      <w:r>
        <w:t xml:space="preserve">: a single path to the memory hierarchy outside the Neighborhood. Requests from the instruction and data caches are arbitrated onto it.</w:t>
      </w:r>
    </w:p>
    <w:p>
      <w:pPr>
        <w:numPr>
          <w:ilvl w:val="0"/>
          <w:numId w:val="1006"/>
        </w:numPr>
      </w:pPr>
      <w:r>
        <w:rPr>
          <w:b/>
          <w:bCs/>
        </w:rPr>
        <w:t xml:space="preserve">Performance monitoring unit (PMU)</w:t>
      </w:r>
      <w:r>
        <w:t xml:space="preserve">: twelve 64-bit event counters shared by the eight cores. Eight counters count ET-Minion events and four count Neighborhood events.</w:t>
      </w:r>
    </w:p>
    <w:bookmarkStart w:id="31" w:name="fig-ch1-neighborhood"/>
    <w:p>
      <w:pPr>
        <w:pStyle w:val="CaptionedFigure"/>
      </w:pPr>
      <w:r>
        <w:drawing>
          <wp:inline>
            <wp:extent cx="5334000" cy="2700199"/>
            <wp:effectExtent b="0" l="0" r="0" t="0"/>
            <wp:docPr descr="Neighborhood" title="" id="29" name="Picture"/>
            <a:graphic>
              <a:graphicData uri="http://schemas.openxmlformats.org/drawingml/2006/picture">
                <pic:pic>
                  <pic:nvPicPr>
                    <pic:cNvPr descr="images/ch01/fig-neighborhood.png" id="30" name="Picture"/>
                    <pic:cNvPicPr>
                      <a:picLocks noChangeArrowheads="1" noChangeAspect="1"/>
                    </pic:cNvPicPr>
                  </pic:nvPicPr>
                  <pic:blipFill>
                    <a:blip r:embed="rId28"/>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31"/>
    <w:p>
      <w:pPr>
        <w:pStyle w:val="BodyText"/>
      </w:pPr>
      <w:r>
        <w:rPr>
          <w:b/>
          <w:bCs/>
        </w:rPr>
        <w:t xml:space="preserve">Note:</w:t>
      </w:r>
      <w:r>
        <w:t xml:space="preserve"> </w:t>
      </w:r>
      <w:r>
        <w:t xml:space="preserve">The PTWs were not implemented in the first silicon revision (A0). The RTL described in this document implements them.</w:t>
      </w:r>
    </w:p>
    <w:bookmarkEnd w:id="32"/>
    <w:bookmarkStart w:id="37"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7"/>
        </w:numPr>
      </w:pPr>
      <w:r>
        <w:rPr>
          <w:b/>
          <w:bCs/>
        </w:rPr>
        <w:t xml:space="preserve">Shire Cache</w:t>
      </w:r>
      <w:r>
        <w:t xml:space="preserve">: 4 MB, in four 1 MB banks, connected to the Neighborhoods through a crossbar. Programmable ESRs divide the cache into three kinds of partition:</w:t>
      </w:r>
    </w:p>
    <w:p>
      <w:pPr>
        <w:numPr>
          <w:ilvl w:val="1"/>
          <w:numId w:val="1008"/>
        </w:numPr>
      </w:pPr>
      <w:r>
        <w:t xml:space="preserve">L2 cache, private to the Shire</w:t>
      </w:r>
    </w:p>
    <w:p>
      <w:pPr>
        <w:numPr>
          <w:ilvl w:val="1"/>
          <w:numId w:val="1008"/>
        </w:numPr>
      </w:pPr>
      <w:r>
        <w:t xml:space="preserve">Slice of the chip-wide distributed L3 cache</w:t>
      </w:r>
    </w:p>
    <w:p>
      <w:pPr>
        <w:numPr>
          <w:ilvl w:val="1"/>
          <w:numId w:val="1008"/>
        </w:numPr>
      </w:pPr>
      <w:r>
        <w:t xml:space="preserve">Scratchpad memory</w:t>
      </w:r>
    </w:p>
    <w:p>
      <w:pPr>
        <w:numPr>
          <w:ilvl w:val="0"/>
          <w:numId w:val="1007"/>
        </w:numPr>
      </w:pPr>
      <w:r>
        <w:rPr>
          <w:b/>
          <w:bCs/>
        </w:rPr>
        <w:t xml:space="preserve">Local services</w:t>
      </w:r>
      <w:r>
        <w:t xml:space="preserve">: uncacheable accesses, fast inter-processor interrupts (IPIs), fast local barriers and fast local credit counters.</w:t>
      </w:r>
    </w:p>
    <w:p>
      <w:pPr>
        <w:numPr>
          <w:ilvl w:val="0"/>
          <w:numId w:val="1007"/>
        </w:numPr>
      </w:pPr>
      <w:r>
        <w:rPr>
          <w:b/>
          <w:bCs/>
        </w:rPr>
        <w:t xml:space="preserve">ESR banks</w:t>
      </w:r>
      <w:r>
        <w:t xml:space="preserve">: the Esperanto System Registers (ESRs) configure the blocks in the Shire.</w:t>
      </w:r>
    </w:p>
    <w:p>
      <w:pPr>
        <w:numPr>
          <w:ilvl w:val="0"/>
          <w:numId w:val="1007"/>
        </w:numPr>
      </w:pPr>
      <w:r>
        <w:rPr>
          <w:b/>
          <w:bCs/>
        </w:rPr>
        <w:t xml:space="preserve">NoC interface</w:t>
      </w:r>
      <w:r>
        <w:t xml:space="preserve">: L2 misses and uncacheable accesses leave the Shire here, bound for other Shires or the memory controllers.</w:t>
      </w:r>
    </w:p>
    <w:bookmarkStart w:id="36" w:name="fig-ch1-minion-shire"/>
    <w:p>
      <w:pPr>
        <w:pStyle w:val="CaptionedFigure"/>
      </w:pPr>
      <w:r>
        <w:drawing>
          <wp:inline>
            <wp:extent cx="5334000" cy="3105326"/>
            <wp:effectExtent b="0" l="0" r="0" t="0"/>
            <wp:docPr descr="Minion Shire" title="" id="34" name="Picture"/>
            <a:graphic>
              <a:graphicData uri="http://schemas.openxmlformats.org/drawingml/2006/picture">
                <pic:pic>
                  <pic:nvPicPr>
                    <pic:cNvPr descr="images/ch01/fig-minion-shire.png" id="35" name="Picture"/>
                    <pic:cNvPicPr>
                      <a:picLocks noChangeArrowheads="1" noChangeAspect="1"/>
                    </pic:cNvPicPr>
                  </pic:nvPicPr>
                  <pic:blipFill>
                    <a:blip r:embed="rId33"/>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6"/>
    <w:bookmarkEnd w:id="37"/>
    <w:bookmarkStart w:id="38"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09"/>
        </w:numPr>
      </w:pPr>
      <w:r>
        <w:rPr>
          <w:b/>
          <w:bCs/>
        </w:rPr>
        <w:t xml:space="preserve">Compute</w:t>
      </w:r>
      <w:r>
        <w:t xml:space="preserve">: 32 Minion Shires operate in parallel as the compute array.</w:t>
      </w:r>
    </w:p>
    <w:p>
      <w:pPr>
        <w:numPr>
          <w:ilvl w:val="0"/>
          <w:numId w:val="1009"/>
        </w:numPr>
      </w:pPr>
      <w:r>
        <w:rPr>
          <w:b/>
          <w:bCs/>
        </w:rPr>
        <w:t xml:space="preserve">Master (management)</w:t>
      </w:r>
      <w:r>
        <w:t xml:space="preserve">: one Minion Shire receives work and distributes it to the compute array.</w:t>
      </w:r>
    </w:p>
    <w:p>
      <w:pPr>
        <w:numPr>
          <w:ilvl w:val="0"/>
          <w:numId w:val="1009"/>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8"/>
    <w:bookmarkEnd w:id="39"/>
    <w:bookmarkStart w:id="46"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44"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43" w:name="fig-ch1-et-maxion"/>
    <w:p>
      <w:pPr>
        <w:pStyle w:val="CaptionedFigure"/>
      </w:pPr>
      <w:r>
        <w:drawing>
          <wp:inline>
            <wp:extent cx="5334000" cy="3449850"/>
            <wp:effectExtent b="0" l="0" r="0" t="0"/>
            <wp:docPr descr="ET-Maxion pipeline" title="" id="41" name="Picture"/>
            <a:graphic>
              <a:graphicData uri="http://schemas.openxmlformats.org/drawingml/2006/picture">
                <pic:pic>
                  <pic:nvPicPr>
                    <pic:cNvPr descr="images/ch01/fig-et-maxion.png" id="42" name="Picture"/>
                    <pic:cNvPicPr>
                      <a:picLocks noChangeArrowheads="1" noChangeAspect="1"/>
                    </pic:cNvPicPr>
                  </pic:nvPicPr>
                  <pic:blipFill>
                    <a:blip r:embed="rId40"/>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43"/>
    <w:bookmarkEnd w:id="44"/>
    <w:bookmarkStart w:id="45"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0"/>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0"/>
        </w:numPr>
      </w:pPr>
      <w:r>
        <w:rPr>
          <w:b/>
          <w:bCs/>
        </w:rPr>
        <w:t xml:space="preserve">Run time.</w:t>
      </w:r>
      <w:r>
        <w:t xml:space="preserve"> </w:t>
      </w:r>
      <w:r>
        <w:t xml:space="preserve">It provides management services for the whole device.</w:t>
      </w:r>
    </w:p>
    <w:p>
      <w:pPr>
        <w:numPr>
          <w:ilvl w:val="0"/>
          <w:numId w:val="1010"/>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1"/>
        </w:numPr>
      </w:pPr>
      <w:r>
        <w:t xml:space="preserve">Service Processor</w:t>
      </w:r>
    </w:p>
    <w:p>
      <w:pPr>
        <w:numPr>
          <w:ilvl w:val="0"/>
          <w:numId w:val="1011"/>
        </w:numPr>
      </w:pPr>
      <w:r>
        <w:t xml:space="preserve">Master Minion Shire</w:t>
      </w:r>
    </w:p>
    <w:p>
      <w:pPr>
        <w:numPr>
          <w:ilvl w:val="0"/>
          <w:numId w:val="1011"/>
        </w:numPr>
      </w:pPr>
      <w:r>
        <w:t xml:space="preserve">ET-Maxions</w:t>
      </w:r>
    </w:p>
    <w:p>
      <w:pPr>
        <w:numPr>
          <w:ilvl w:val="0"/>
          <w:numId w:val="1011"/>
        </w:numPr>
      </w:pPr>
      <w:r>
        <w:t xml:space="preserve">PCIe host</w:t>
      </w:r>
    </w:p>
    <w:bookmarkEnd w:id="45"/>
    <w:bookmarkEnd w:id="46"/>
    <w:bookmarkStart w:id="56"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50" w:name="fig-ch1-full-chip"/>
    <w:p>
      <w:pPr>
        <w:pStyle w:val="CaptionedFigure"/>
      </w:pPr>
      <w:r>
        <w:drawing>
          <wp:inline>
            <wp:extent cx="5334000" cy="3874829"/>
            <wp:effectExtent b="0" l="0" r="0" t="0"/>
            <wp:docPr descr="ET-SoC-1 block diagram" title="" id="48" name="Picture"/>
            <a:graphic>
              <a:graphicData uri="http://schemas.openxmlformats.org/drawingml/2006/picture">
                <pic:pic>
                  <pic:nvPicPr>
                    <pic:cNvPr descr="images/ch01/fig-full-chip.png" id="49" name="Picture"/>
                    <pic:cNvPicPr>
                      <a:picLocks noChangeArrowheads="1" noChangeAspect="1"/>
                    </pic:cNvPicPr>
                  </pic:nvPicPr>
                  <pic:blipFill>
                    <a:blip r:embed="rId47"/>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50"/>
    <w:bookmarkStart w:id="52"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51"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51"/>
    <w:bookmarkEnd w:id="52"/>
    <w:bookmarkStart w:id="53" w:name="sec-ch1-memshire"/>
    <w:p>
      <w:pPr>
        <w:pStyle w:val="Heading3"/>
      </w:pPr>
      <w:r>
        <w:rPr>
          <w:rStyle w:val="SectionNumber"/>
        </w:rPr>
        <w:t xml:space="preserve">1.4.2</w:t>
      </w:r>
      <w:r>
        <w:tab/>
      </w:r>
      <w:r>
        <w:t xml:space="preserve">Memory Shires</w:t>
      </w:r>
    </w:p>
    <w:p>
      <w:pPr>
        <w:pStyle w:val="FirstParagraph"/>
      </w:pPr>
      <w:r>
        <w:t xml:space="preserve">Each of the eight Memory Shires contains one 32-bit LPDDR4X controller that drives two 16-bit channels at up to 4,266 MT/s. The Memory Shires also support global atomic operations.</w:t>
      </w:r>
    </w:p>
    <w:bookmarkEnd w:id="53"/>
    <w:bookmarkStart w:id="54"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2"/>
        </w:numPr>
      </w:pPr>
      <w:r>
        <w:t xml:space="preserve">Single 8-lane endpoint or root complex</w:t>
      </w:r>
    </w:p>
    <w:p>
      <w:pPr>
        <w:numPr>
          <w:ilvl w:val="0"/>
          <w:numId w:val="1012"/>
        </w:numPr>
      </w:pPr>
      <w:r>
        <w:t xml:space="preserve">Single 4-lane endpoint or root complex</w:t>
      </w:r>
    </w:p>
    <w:p>
      <w:pPr>
        <w:numPr>
          <w:ilvl w:val="0"/>
          <w:numId w:val="1012"/>
        </w:numPr>
      </w:pPr>
      <w:r>
        <w:t xml:space="preserve">4-lane endpoint together with a 4-lane root complex</w:t>
      </w:r>
    </w:p>
    <w:p>
      <w:pPr>
        <w:pStyle w:val="FirstParagraph"/>
      </w:pPr>
      <w:r>
        <w:t xml:space="preserve">The interface is normally factory-configured as an endpoint.</w:t>
      </w:r>
    </w:p>
    <w:bookmarkEnd w:id="54"/>
    <w:bookmarkStart w:id="55"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3"/>
        </w:numPr>
      </w:pPr>
      <w:r>
        <w:rPr>
          <w:b/>
          <w:bCs/>
        </w:rPr>
        <w:t xml:space="preserve">Service Processor network.</w:t>
      </w:r>
      <w:r>
        <w:t xml:space="preserve"> </w:t>
      </w:r>
      <w:r>
        <w:t xml:space="preserve">Accessible only to the SP. It contains:</w:t>
      </w:r>
    </w:p>
    <w:p>
      <w:pPr>
        <w:numPr>
          <w:ilvl w:val="1"/>
          <w:numId w:val="1014"/>
        </w:numPr>
      </w:pPr>
      <w:r>
        <w:t xml:space="preserve">SPI, including the boot-flash controller</w:t>
      </w:r>
    </w:p>
    <w:p>
      <w:pPr>
        <w:numPr>
          <w:ilvl w:val="1"/>
          <w:numId w:val="1014"/>
        </w:numPr>
      </w:pPr>
      <w:r>
        <w:t xml:space="preserve">I2C, including the link to the external power-management controller</w:t>
      </w:r>
    </w:p>
    <w:p>
      <w:pPr>
        <w:numPr>
          <w:ilvl w:val="1"/>
          <w:numId w:val="1014"/>
        </w:numPr>
      </w:pPr>
      <w:r>
        <w:t xml:space="preserve">UART, including the SP console</w:t>
      </w:r>
    </w:p>
    <w:p>
      <w:pPr>
        <w:numPr>
          <w:ilvl w:val="1"/>
          <w:numId w:val="1014"/>
        </w:numPr>
      </w:pPr>
      <w:r>
        <w:t xml:space="preserve">GPIO, timers, watchdog and boot control</w:t>
      </w:r>
    </w:p>
    <w:p>
      <w:pPr>
        <w:numPr>
          <w:ilvl w:val="0"/>
          <w:numId w:val="1013"/>
        </w:numPr>
      </w:pPr>
      <w:r>
        <w:rPr>
          <w:b/>
          <w:bCs/>
        </w:rPr>
        <w:t xml:space="preserve">Peripheral network.</w:t>
      </w:r>
      <w:r>
        <w:t xml:space="preserve"> </w:t>
      </w:r>
      <w:r>
        <w:t xml:space="preserve">Shared by the SP, the ET-Maxions and the master Minion Shire. It contains:</w:t>
      </w:r>
    </w:p>
    <w:p>
      <w:pPr>
        <w:numPr>
          <w:ilvl w:val="1"/>
          <w:numId w:val="1015"/>
        </w:numPr>
      </w:pPr>
      <w:r>
        <w:t xml:space="preserve">eMMC, USB 2.0 OTG, I2C/SMBus, I3C, SPI and UART</w:t>
      </w:r>
    </w:p>
    <w:p>
      <w:pPr>
        <w:numPr>
          <w:ilvl w:val="1"/>
          <w:numId w:val="1015"/>
        </w:numPr>
      </w:pPr>
      <w:r>
        <w:t xml:space="preserve">GPIO, timers and watchdog</w:t>
      </w:r>
    </w:p>
    <w:p>
      <w:pPr>
        <w:numPr>
          <w:ilvl w:val="0"/>
          <w:numId w:val="1013"/>
        </w:numPr>
      </w:pPr>
      <w:r>
        <w:rPr>
          <w:b/>
          <w:bCs/>
        </w:rPr>
        <w:t xml:space="preserve">Debug network.</w:t>
      </w:r>
      <w:r>
        <w:t xml:space="preserve"> </w:t>
      </w:r>
      <w:r>
        <w:t xml:space="preserve">Provides debug access through JTAG and a USB 2.0 device port.</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7" Target="media/rId47.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2026-09-21T11:39:44Z</dcterms:created>
  <dcterms:modified xsi:type="dcterms:W3CDTF">2026-09-21T11:39:44Z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2026-09-21</vt:lpwstr>
  </property>
</Properties>
</file>