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v1.0）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日期：2026-10-25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D010/D011/D012/D017，交付四件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：球出界后的球权归属、进球、出界（角球/球门球由出界位置推导）；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：越位、犯规、红黄牌等判罚推理；HDMI/OSD 视频输出；板载摄像头采集（D015）。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PL：preproc（BGR888 → 3×320×320 RGB 平面，最近邻，II=1，18.8 ms/帧）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</w:t>
        <w:br/>
      </w:r>
      <w:r>
        <w:rPr>
          <w:rFonts w:ascii="Consolas" w:hAnsi="Consolas" w:eastAsia="Consolas"/>
          <w:sz w:val="17"/>
        </w:rPr>
        <w:t xml:space="preserve">  └──► 落 SD 卡（与推送格式同构）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>后，3 个已知真倒地全部进入强候选，且未引入已知误报。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帧间关联、ID 管理、异常分支，无固定数据并行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每帧候选少、ROI 尺寸变化；C 分类器 8 ms/候选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 + SD）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网络栈/文件系统；PL 不参与（D014）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预处理 + 检测 + 跟踪 + 球 + 事件）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 --calib data/calib/field_calib.json \</w:t>
        <w:br/>
      </w:r>
      <w:r>
        <w:rPr>
          <w:rFonts w:ascii="Consolas" w:hAnsi="Consolas" w:eastAsia="Consolas"/>
          <w:sz w:val="17"/>
        </w:rPr>
        <w:t xml:space="preserve">  --proposal --out /tmp/out.json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>（出界/进球/球权）。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源码、PYNQ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可复现构建 Tcl（BD/综合/实现）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个真倒地；候选池纯度约 2.3 %，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不宣称精度/召回。要产品化需姿态模型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可上板、可复现、 可验收</w:t>
      </w:r>
      <w:r>
        <w:rPr>
          <w:rFonts w:ascii="微软雅黑" w:hAnsi="微软雅黑" w:eastAsia="微软雅黑"/>
          <w:b w:val="0"/>
          <w:sz w:val="21"/>
        </w:rPr>
        <w:t>的完整链路：PL 预处理 18.8 ms/帧、PS ncnn 检测 0.95–1.0 s/帧、跟踪 0.2 px、 球链路 80 % 确认、144/202 帧球场坐标与 49 帧球权输出。我们没有把资源花在“PL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