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44" w:rsidRDefault="00835344" w:rsidP="00AF349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4D5156"/>
          <w:shd w:val="clear" w:color="auto" w:fill="FFFFFF"/>
        </w:rPr>
      </w:pPr>
      <w:proofErr w:type="spellStart"/>
      <w:r w:rsidRPr="00835344">
        <w:t>Cryptocurrencies</w:t>
      </w:r>
      <w:proofErr w:type="spellEnd"/>
      <w:r w:rsidRPr="00835344">
        <w:t xml:space="preserve"> are digital tokens. They are a type of digital currency that allows people to make payments directly to each other through an online system. </w:t>
      </w:r>
      <w:proofErr w:type="spellStart"/>
      <w:r w:rsidRPr="00835344">
        <w:t>Cryptocurrencies</w:t>
      </w:r>
      <w:proofErr w:type="spellEnd"/>
      <w:r w:rsidRPr="00835344">
        <w:t xml:space="preserve"> have no legislated or intrinsic value; they are simply worth what people are willing to pay for them in the market.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</w:p>
    <w:p w:rsidR="00AF349A" w:rsidRPr="00AF349A" w:rsidRDefault="00AF349A" w:rsidP="00AF349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ajorHAnsi" w:hAnsiTheme="majorHAnsi" w:cs="Arial"/>
          <w:color w:val="10202A"/>
        </w:rPr>
      </w:pPr>
      <w:bookmarkStart w:id="0" w:name="_GoBack"/>
      <w:bookmarkEnd w:id="0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 xml:space="preserve">Brazil has not currently enacted regulations or legislation specifically regulating </w:t>
      </w:r>
      <w:proofErr w:type="spellStart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cryptocurrency</w:t>
      </w:r>
      <w:proofErr w:type="spellEnd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 xml:space="preserve">.  Nonetheless, existing legal and regulatory structures provide guidance with respect to </w:t>
      </w:r>
      <w:proofErr w:type="spellStart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cryptocurrencies</w:t>
      </w:r>
      <w:proofErr w:type="spellEnd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.</w:t>
      </w:r>
    </w:p>
    <w:p w:rsidR="00AF349A" w:rsidRPr="00AF349A" w:rsidRDefault="00AF349A" w:rsidP="00AF349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ajorHAnsi" w:hAnsiTheme="majorHAnsi" w:cs="Arial"/>
          <w:color w:val="10202A"/>
        </w:rPr>
      </w:pPr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Virtual currencies do not currently fall under the definition of legal currency under Brazilian law.  Under the Decree-Law 857-69 and Law 10192/01, the Brazilian real is the country’s legal currency.  </w:t>
      </w:r>
      <w:proofErr w:type="spellStart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Cryptocurrencies</w:t>
      </w:r>
      <w:proofErr w:type="spellEnd"/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 xml:space="preserve"> are generally considered assets under the general Civil Code regime.  See Law 10406/02.</w:t>
      </w:r>
    </w:p>
    <w:p w:rsidR="00AF349A" w:rsidRPr="00AF349A" w:rsidRDefault="00AF349A" w:rsidP="00AF349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ajorHAnsi" w:hAnsiTheme="majorHAnsi" w:cs="Arial"/>
          <w:color w:val="10202A"/>
        </w:rPr>
      </w:pPr>
      <w:r w:rsidRPr="00AF349A">
        <w:rPr>
          <w:rFonts w:asciiTheme="majorHAnsi" w:hAnsiTheme="majorHAnsi" w:cs="Arial"/>
          <w:color w:val="000000"/>
          <w:bdr w:val="single" w:sz="2" w:space="0" w:color="E5E7EB" w:frame="1"/>
        </w:rPr>
        <w:t>Initial Coin Offerings–at least those that intrinsically take on the functional characteristics of a security–may be subject to the Capital Markets Law and the Brazilian Securities Exchange Commission (CVM) regulatory framework.  As such, offerings may be subject to CVM Ruling 400/03 and/or other CVM guidance.</w:t>
      </w:r>
    </w:p>
    <w:p w:rsidR="00A3677F" w:rsidRDefault="00A3677F"/>
    <w:sectPr w:rsidR="00A3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70"/>
    <w:rsid w:val="00782870"/>
    <w:rsid w:val="00835344"/>
    <w:rsid w:val="00A3677F"/>
    <w:rsid w:val="00A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34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34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34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2024-03-05T08:47:00Z</dcterms:created>
  <dcterms:modified xsi:type="dcterms:W3CDTF">2024-03-05T08:48:00Z</dcterms:modified>
</cp:coreProperties>
</file>