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Familiar Strangers in ATAC-seq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 xml:space="preserve">Topic 1: </w:t>
      </w:r>
      <w:r>
        <w:rPr>
          <w:rFonts w:hint="default" w:ascii="Arial" w:hAnsi="Arial" w:cs="Arial"/>
          <w:b/>
          <w:bCs/>
          <w:sz w:val="28"/>
          <w:szCs w:val="28"/>
        </w:rPr>
        <w:t>The Structure of Tn5 Transpos</w:t>
      </w: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on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93980</wp:posOffset>
            </wp:positionV>
            <wp:extent cx="3629660" cy="730250"/>
            <wp:effectExtent l="0" t="0" r="2540" b="0"/>
            <wp:wrapNone/>
            <wp:docPr id="20" name="内容占位符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内容占位符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66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5665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Figure 1. The st</w:t>
      </w:r>
      <w:bookmarkStart w:id="6" w:name="_GoBack"/>
      <w:bookmarkEnd w:id="6"/>
      <w:r>
        <w:rPr>
          <w:rFonts w:hint="eastAsia"/>
          <w:b/>
          <w:bCs/>
          <w:lang w:val="en-US" w:eastAsia="zh-CN"/>
        </w:rPr>
        <w:t>ructure of Tn5 transposon.</w:t>
      </w:r>
      <w:bookmarkEnd w:id="0"/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Tn5</w:t>
      </w:r>
      <w:r>
        <w:rPr>
          <w:rFonts w:hint="eastAsia"/>
          <w:lang w:val="en-US" w:eastAsia="zh-CN"/>
        </w:rPr>
        <w:t xml:space="preserve"> is composed of two insertion sequences IS50L and IS50R. IS50R codes for Tn5 transposase. Each insertion sequence is flanked by 19-bp end sequences termed outside end (OE) and inside end (IE). The grey box represents the OE and the yellow box represents the IE. The OE and IE differ by 7 bases (shown in red)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"_ENREF_1" \o "Bhasin, 1999 #1"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ADDIN  EN.CITE &lt;EndNote&gt;&lt;Cite&gt;&lt;Author&gt;Bhasin&lt;/Author&gt;&lt;Year&gt;1999&lt;/Year&gt;&lt;RecNum&gt;1&lt;/RecNum&gt;&lt;DisplayText&gt;&lt;style face="superscript"&gt;1&lt;/style&gt;&lt;/DisplayText&gt;&lt;record&gt;&lt;rec-number&gt;1&lt;/rec-number&gt;&lt;foreign-keys&gt;&lt;key app="EN" db-id="ppft0pdsd9wrwcepxt6xwtp85xd5da20sdd9"&gt;1&lt;/key&gt;&lt;/foreign-keys&gt;&lt;ref-type name="Journal Article"&gt;17&lt;/ref-type&gt;&lt;contributors&gt;&lt;authors&gt;&lt;author&gt;Bhasin, Archna&lt;/author&gt;&lt;author&gt;Goryshin, Igor Y&lt;/author&gt;&lt;author&gt;Reznikoff, William S&lt;/author&gt;&lt;/authors&gt;&lt;/contributors&gt;&lt;titles&gt;&lt;title&gt;Hairpin formation in Tn5 transposition&lt;/title&gt;&lt;secondary-title&gt;Journal of Biological Chemistry&lt;/secondary-title&gt;&lt;/titles&gt;&lt;periodical&gt;&lt;full-title&gt;Journal of Biological Chemistry&lt;/full-title&gt;&lt;/periodical&gt;&lt;pages&gt;37021-37029&lt;/pages&gt;&lt;volume&gt;274&lt;/volume&gt;&lt;number&gt;52&lt;/number&gt;&lt;dates&gt;&lt;year&gt;1999&lt;/year&gt;&lt;/dates&gt;&lt;isbn&gt;0021-9258&lt;/isbn&gt;&lt;urls&gt;&lt;/urls&gt;&lt;/record&gt;&lt;/Cite&gt;&lt;/EndNote&gt;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u w:val="none"/>
          <w:vertAlign w:val="superscript"/>
          <w:lang w:val="en-US" w:eastAsia="zh-CN" w:bidi="ar-SA"/>
        </w:rPr>
        <w:t>1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Topic2: Cleavage step: formation of the synaptic complex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Transposase binds to the transposon DNA at the end recognition sequences (OE). Then the end sequences are brought together via transposase oligomerization to form a complex nucleo-protein structure termed a synaptic complex</w: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ADDIN  EN.CITE &lt;EndNote&gt;&lt;Cite&gt;&lt;Author&gt;Mizuuchi&lt;/Author&gt;&lt;Year&gt;1992&lt;/Year&gt;&lt;RecNum&gt;2&lt;/RecNum&gt;&lt;DisplayText&gt;&lt;style face="superscript"&gt;2, 3&lt;/style&gt;&lt;/DisplayText&gt;&lt;record&gt;&lt;rec-number&gt;2&lt;/rec-number&gt;&lt;foreign-keys&gt;&lt;key app="EN" db-id="ppft0pdsd9wrwcepxt6xwtp85xd5da20sdd9"&gt;2&lt;/key&gt;&lt;/foreign-keys&gt;&lt;ref-type name="Journal Article"&gt;17&lt;/ref-type&gt;&lt;contributors&gt;&lt;authors&gt;&lt;author&gt;Mizuuchi, Michiyo&lt;/author&gt;&lt;author&gt;Baker, Tania A&lt;/author&gt;&lt;author&gt;Mizuuchi, Kiyoshi&lt;/author&gt;&lt;/authors&gt;&lt;/contributors&gt;&lt;titles&gt;&lt;title&gt;Assembly of the active form of the transposase-Mu DNA complex: a critical control point in Mu transposition&lt;/title&gt;&lt;secondary-title&gt;Cell&lt;/secondary-title&gt;&lt;/titles&gt;&lt;periodical&gt;&lt;full-title&gt;Cell&lt;/full-title&gt;&lt;/periodical&gt;&lt;pages&gt;303-311&lt;/pages&gt;&lt;volume&gt;70&lt;/volume&gt;&lt;number&gt;2&lt;/number&gt;&lt;dates&gt;&lt;year&gt;1992&lt;/year&gt;&lt;/dates&gt;&lt;isbn&gt;0092-8674&lt;/isbn&gt;&lt;urls&gt;&lt;/urls&gt;&lt;/record&gt;&lt;/Cite&gt;&lt;Cite&gt;&lt;Author&gt;Sakai&lt;/Author&gt;&lt;Year&gt;1995&lt;/Year&gt;&lt;RecNum&gt;3&lt;/RecNum&gt;&lt;record&gt;&lt;rec-number&gt;3&lt;/rec-number&gt;&lt;foreign-keys&gt;&lt;key app="EN" db-id="ppft0pdsd9wrwcepxt6xwtp85xd5da20sdd9"&gt;3&lt;/key&gt;&lt;/foreign-keys&gt;&lt;ref-type name="Journal Article"&gt;17&lt;/ref-type&gt;&lt;contributors&gt;&lt;authors&gt;&lt;author&gt;Sakai, Janice&lt;/author&gt;&lt;author&gt;Chalmers, Ronald M&lt;/author&gt;&lt;author&gt;Kleckner, Nancy&lt;/author&gt;&lt;/authors&gt;&lt;/contributors&gt;&lt;titles&gt;&lt;title&gt;Identification and characterization of a pre‐cleavage synaptic complex that is an early intermediate in Tn10 transposition&lt;/title&gt;&lt;secondary-title&gt;The EMBO journal&lt;/secondary-title&gt;&lt;/titles&gt;&lt;periodical&gt;&lt;full-title&gt;The EMBO journal&lt;/full-title&gt;&lt;/periodical&gt;&lt;pages&gt;4374-4383&lt;/pages&gt;&lt;volume&gt;14&lt;/volume&gt;&lt;number&gt;17&lt;/number&gt;&lt;dates&gt;&lt;year&gt;1995&lt;/year&gt;&lt;/dates&gt;&lt;isbn&gt;0261-4189&lt;/isbn&gt;&lt;urls&gt;&lt;/urls&gt;&lt;/record&gt;&lt;/Cite&gt;&lt;/EndNote&gt;</w:instrTex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instrText xml:space="preserve"> HYPERLINK \l "_ENREF_2" \o "Mizuuchi, 1992 #2" </w:instrText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fldChar w:fldCharType="separate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t>2</w:t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fldChar w:fldCharType="end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t xml:space="preserve">, </w:t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fldChar w:fldCharType="begin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instrText xml:space="preserve"> HYPERLINK \l "_ENREF_3" \o "Sakai, 1995 #3" </w:instrText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fldChar w:fldCharType="separate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t>3</w:t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fldChar w:fldCharType="end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. Once a stable synaptic complex has been formed, it can cut the transposon to form a 3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hydrolytic nick. The free 3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OH then attacks the phosphodiester bond on the opposite strand, forming a hairpin at the transposon end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instrText xml:space="preserve"> HYPERLINK \l "_ENREF_1" \o "Bhasin, 1999 #1" </w:instrTex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ADDIN  EN.CITE &lt;EndNote&gt;&lt;Cite&gt;&lt;Author&gt;Bhasin&lt;/Author&gt;&lt;Year&gt;1999&lt;/Year&gt;&lt;RecNum&gt;1&lt;/RecNum&gt;&lt;DisplayText&gt;&lt;style face="superscript"&gt;1&lt;/style&gt;&lt;/DisplayText&gt;&lt;record&gt;&lt;rec-number&gt;1&lt;/rec-number&gt;&lt;foreign-keys&gt;&lt;key app="EN" db-id="ppft0pdsd9wrwcepxt6xwtp85xd5da20sdd9"&gt;1&lt;/key&gt;&lt;/foreign-keys&gt;&lt;ref-type name="Journal Article"&gt;17&lt;/ref-type&gt;&lt;contributors&gt;&lt;authors&gt;&lt;author&gt;Bhasin, Archna&lt;/author&gt;&lt;author&gt;Goryshin, Igor Y&lt;/author&gt;&lt;author&gt;Reznikoff, William S&lt;/author&gt;&lt;/authors&gt;&lt;/contributors&gt;&lt;titles&gt;&lt;title&gt;Hairpin formation in Tn5 transposition&lt;/title&gt;&lt;secondary-title&gt;Journal of Biological Chemistry&lt;/secondary-title&gt;&lt;/titles&gt;&lt;periodical&gt;&lt;full-title&gt;Journal of Biological Chemistry&lt;/full-title&gt;&lt;/periodical&gt;&lt;pages&gt;37021-37029&lt;/pages&gt;&lt;volume&gt;274&lt;/volume&gt;&lt;number&gt;52&lt;/number&gt;&lt;dates&gt;&lt;year&gt;1999&lt;/year&gt;&lt;/dates&gt;&lt;isbn&gt;0021-9258&lt;/isbn&gt;&lt;urls&gt;&lt;/urls&gt;&lt;/record&gt;&lt;/Cite&gt;&lt;/EndNote&gt;</w:instrTex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t>1</w: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(that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s why some paper called it a blunt end). Then the hairpin will be solved by a transposase-catalysed hydrolytic cleavage. For more detailed information is shown in Figure2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instrText xml:space="preserve"> HYPERLINK \l "_ENREF_4" \o "Gradman, 2008 #4" </w:instrTex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ADDIN  EN.CITE &lt;EndNote&gt;&lt;Cite&gt;&lt;Author&gt;Gradman&lt;/Author&gt;&lt;Year&gt;2008&lt;/Year&gt;&lt;RecNum&gt;4&lt;/RecNum&gt;&lt;DisplayText&gt;&lt;style face="superscript"&gt;4&lt;/style&gt;&lt;/DisplayText&gt;&lt;record&gt;&lt;rec-number&gt;4&lt;/rec-number&gt;&lt;foreign-keys&gt;&lt;key app="EN" db-id="ppft0pdsd9wrwcepxt6xwtp85xd5da20sdd9"&gt;4&lt;/key&gt;&lt;/foreign-keys&gt;&lt;ref-type name="Journal Article"&gt;17&lt;/ref-type&gt;&lt;contributors&gt;&lt;authors&gt;&lt;author&gt;Gradman, Richard J&lt;/author&gt;&lt;author&gt;Reznikoff, William S&lt;/author&gt;&lt;/authors&gt;&lt;/contributors&gt;&lt;titles&gt;&lt;title&gt;Tn5 synaptic complex formation: role of transposase residue W450&lt;/title&gt;&lt;secondary-title&gt;Journal of bacteriology&lt;/secondary-title&gt;&lt;/titles&gt;&lt;periodical&gt;&lt;full-title&gt;Journal of bacteriology&lt;/full-title&gt;&lt;/periodical&gt;&lt;pages&gt;1484-1487&lt;/pages&gt;&lt;volume&gt;190&lt;/volume&gt;&lt;number&gt;4&lt;/number&gt;&lt;dates&gt;&lt;year&gt;2008&lt;/year&gt;&lt;/dates&gt;&lt;isbn&gt;0021-9193&lt;/isbn&gt;&lt;urls&gt;&lt;/urls&gt;&lt;/record&gt;&lt;/Cite&gt;&lt;/EndNote&gt;</w:instrTex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t>4</w: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17780</wp:posOffset>
            </wp:positionV>
            <wp:extent cx="2124710" cy="2421890"/>
            <wp:effectExtent l="0" t="0" r="8890" b="3810"/>
            <wp:wrapNone/>
            <wp:docPr id="1" name="图片 1" descr="synap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ynapt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bookmarkStart w:id="1" w:name="_ENREF_1"/>
      <w:bookmarkEnd w:id="1"/>
      <w:bookmarkStart w:id="2" w:name="_ENREF_3"/>
      <w:bookmarkEnd w:id="2"/>
      <w:bookmarkStart w:id="3" w:name="_ENREF_4"/>
      <w:bookmarkEnd w:id="3"/>
      <w:bookmarkStart w:id="4" w:name="_ENREF_2"/>
      <w:bookmarkEnd w:id="4"/>
      <w:bookmarkStart w:id="5" w:name="_ENREF_5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Figure 2. Tn5 transposition mechanism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"_ENREF_4" \o "Gradman, 2008 #4"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u w:val="none"/>
          <w:lang w:val="en-US" w:eastAsia="zh-CN"/>
        </w:rPr>
        <w:instrText xml:space="preserve"> ADDIN  EN.CITE &lt;EndNote&gt;&lt;Cite&gt;&lt;Author&gt;Gradman&lt;/Author&gt;&lt;Year&gt;2008&lt;/Year&gt;&lt;RecNum&gt;4&lt;/RecNum&gt;&lt;DisplayText&gt;&lt;style face="superscript"&gt;4&lt;/style&gt;&lt;/DisplayText&gt;&lt;record&gt;&lt;rec-number&gt;4&lt;/rec-number&gt;&lt;foreign-keys&gt;&lt;key app="EN" db-id="ppft0pdsd9wrwcepxt6xwtp85xd5da20sdd9"&gt;4&lt;/key&gt;&lt;/foreign-keys&gt;&lt;ref-type name="Journal Article"&gt;17&lt;/ref-type&gt;&lt;contributors&gt;&lt;authors&gt;&lt;author&gt;Gradman, Richard J&lt;/author&gt;&lt;author&gt;Reznikoff, William S&lt;/author&gt;&lt;/authors&gt;&lt;/contributors&gt;&lt;titles&gt;&lt;title&gt;Tn5 synaptic complex formation: role of transposase residue W450&lt;/title&gt;&lt;secondary-title&gt;Journal of bacteriology&lt;/secondary-title&gt;&lt;/titles&gt;&lt;periodical&gt;&lt;full-title&gt;Journal of bacteriology&lt;/full-title&gt;&lt;/periodical&gt;&lt;pages&gt;1484-1487&lt;/pages&gt;&lt;volume&gt;190&lt;/volume&gt;&lt;number&gt;4&lt;/number&gt;&lt;dates&gt;&lt;year&gt;2008&lt;/year&gt;&lt;/dates&gt;&lt;isbn&gt;0021-9193&lt;/isbn&gt;&lt;urls&gt;&lt;/urls&gt;&lt;/record&gt;&lt;/Cite&gt;&lt;/EndNote&gt;</w:instrTex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u w:val="none"/>
          <w:vertAlign w:val="superscript"/>
          <w:lang w:val="en-US" w:eastAsia="zh-CN" w:bidi="ar-SA"/>
        </w:rPr>
        <w:t>4</w:t>
      </w:r>
      <w:r>
        <w:rPr>
          <w:rFonts w:hint="eastAsia"/>
          <w:b/>
          <w:bCs/>
          <w:color w:val="auto"/>
          <w:u w:val="none"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Transposition is initiated by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Tnp binding to the transposon-specifific ESs and the formation of a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highly ordered nucleoprotein complex (synaptic complex) through a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process called synapsis. The synaptic complex contains two protomers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of Tnp, which exist as a dimer, and two ESs. Catalytic cleavage occurs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when an activated water molecule coordinated by Mg</w:t>
      </w:r>
      <w:r>
        <w:rPr>
          <w:rFonts w:hint="eastAsia"/>
          <w:vertAlign w:val="superscript"/>
          <w:lang w:val="en-US" w:eastAsia="zh-CN"/>
        </w:rPr>
        <w:t>2+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nicks the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transferred DNA strand (TS) on both sides of the transposon, through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nucleophilic attack, forming a 3’-hydroxyl group. The free 3’-hydroyxl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group acts as a nucleophile and cleaves the nontransferred DNA strand (NT), forming a hairpin. A second activated water molecule resolves the hairpin, resulting in a double-stranded DNA cleavage product. The postcleavage synaptic complex is now free to bind to target DNA through target capture. Th</w:t>
      </w:r>
      <w:r>
        <w:rPr>
          <w:rFonts w:hint="eastAsia"/>
          <w:lang w:val="en-US" w:eastAsia="zh-CN"/>
        </w:rPr>
        <w:t xml:space="preserve">e </w:t>
      </w:r>
      <w:r>
        <w:rPr>
          <w:rFonts w:hint="default"/>
          <w:lang w:val="en-US" w:eastAsia="zh-CN"/>
        </w:rPr>
        <w:t xml:space="preserve">3’-hydroxyl group of the transposon end attacks the phosphodiester backbone of target DNA during strand transfer. A 9-bp duplication in the target results, due to the staggered strand transfer reactions followed by DNA repair by host 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enzymes.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Topic 3: Strand transfer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The two 3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OH groups are 41 Å apart, slightly further than desired for attacking the two target phosphodiester bonds the required 9 bp apart. After target capture, the two 3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OH ends attack the target DNA phosphates 9 bp apart resulting in integration of the transposon into the target. That is why some papers said that 3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OHs attack phos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phodiester bonds in the target DNA in a staggered fashion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and this will form the two 9-bp duplications flanking the inserted sequences (Figure 3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instrText xml:space="preserve"> HYPERLINK \l "_ENREF_5" \o "Reznikoff, 2003 #5" </w:instrTex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ADDIN  EN.CITE &lt;EndNote&gt;&lt;Cite&gt;&lt;Author&gt;Reznikoff&lt;/Author&gt;&lt;Year&gt;2003&lt;/Year&gt;&lt;RecNum&gt;5&lt;/RecNum&gt;&lt;DisplayText&gt;&lt;style face="superscript"&gt;5&lt;/style&gt;&lt;/DisplayText&gt;&lt;record&gt;&lt;rec-number&gt;5&lt;/rec-number&gt;&lt;foreign-keys&gt;&lt;key app="EN" db-id="ppft0pdsd9wrwcepxt6xwtp85xd5da20sdd9"&gt;5&lt;/key&gt;&lt;/foreign-keys&gt;&lt;ref-type name="Journal Article"&gt;17&lt;/ref-type&gt;&lt;contributors&gt;&lt;authors&gt;&lt;author&gt;Reznikoff, William S&lt;/author&gt;&lt;/authors&gt;&lt;/contributors&gt;&lt;titles&gt;&lt;title&gt;Tn5 as a model for understanding DNA transposition&lt;/title&gt;&lt;secondary-title&gt;Molecular microbiology&lt;/secondary-title&gt;&lt;/titles&gt;&lt;periodical&gt;&lt;full-title&gt;Molecular microbiology&lt;/full-title&gt;&lt;/periodical&gt;&lt;pages&gt;1199-1206&lt;/pages&gt;&lt;volume&gt;47&lt;/volume&gt;&lt;number&gt;5&lt;/number&gt;&lt;dates&gt;&lt;year&gt;2003&lt;/year&gt;&lt;/dates&gt;&lt;isbn&gt;0950-382X&lt;/isbn&gt;&lt;urls&gt;&lt;/urls&gt;&lt;/record&gt;&lt;/Cite&gt;&lt;/EndNote&gt;</w:instrTex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eastAsia" w:ascii="Arial" w:hAnsi="Arial" w:cs="Arial" w:eastAsiaTheme="minorEastAsia"/>
          <w:b w:val="0"/>
          <w:bCs w:val="0"/>
          <w:color w:val="auto"/>
          <w:kern w:val="2"/>
          <w:sz w:val="24"/>
          <w:szCs w:val="24"/>
          <w:u w:val="none"/>
          <w:vertAlign w:val="superscript"/>
          <w:lang w:val="en-US" w:eastAsia="zh-CN" w:bidi="ar-SA"/>
        </w:rPr>
        <w:t>5</w:t>
      </w:r>
      <w:r>
        <w:rPr>
          <w:rFonts w:hint="eastAsia" w:ascii="Arial" w:hAnsi="Arial" w:cs="Arial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70" w:leftChars="700" w:firstLine="0" w:firstLineChars="0"/>
        <w:jc w:val="left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-547370</wp:posOffset>
            </wp:positionV>
            <wp:extent cx="3241675" cy="541655"/>
            <wp:effectExtent l="0" t="0" r="0" b="4445"/>
            <wp:wrapNone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 xml:space="preserve">Figure 3. Schematic of the formation of 9 duplicated sequences. </w:t>
      </w:r>
      <w:r>
        <w:rPr>
          <w:rFonts w:hint="eastAsia"/>
          <w:lang w:val="en-US" w:eastAsia="zh-CN"/>
        </w:rPr>
        <w:t>The segment AAAAA represents the inserted sequence (colored in red) and the segment DEFGHIJKL represents the 9-bp repeat.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vertAlign w:val="superscrip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210" w:firstLineChars="1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Reference</w:t>
      </w: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pStyle w:val="6"/>
        <w:bidi w:val="0"/>
        <w:ind w:left="0" w:firstLine="0"/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 EN.REFLIST </w:instrText>
      </w:r>
      <w:r>
        <w:rPr>
          <w:rFonts w:hint="default"/>
          <w:lang w:val="en-US"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1 Bhasin A, Goryshin IY, Reznikoff WS. Hairpin formation in Tn5 transposition. </w:t>
      </w:r>
      <w:r>
        <w:rPr>
          <w:rFonts w:asciiTheme="minorHAnsi" w:hAnsiTheme="minorHAnsi" w:eastAsiaTheme="minorEastAsia" w:cstheme="minorBidi"/>
          <w:i/>
          <w:kern w:val="2"/>
          <w:sz w:val="20"/>
          <w:szCs w:val="24"/>
          <w:lang w:val="en-US" w:eastAsia="zh-CN" w:bidi="ar-SA"/>
        </w:rPr>
        <w:t>Journal of Biological Chemistry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 1999; </w:t>
      </w:r>
      <w:r>
        <w:rPr>
          <w:rFonts w:asciiTheme="minorHAnsi" w:hAnsiTheme="minorHAnsi" w:eastAsiaTheme="minorEastAsia" w:cstheme="minorBidi"/>
          <w:b/>
          <w:kern w:val="2"/>
          <w:sz w:val="20"/>
          <w:szCs w:val="24"/>
          <w:lang w:val="en-US" w:eastAsia="zh-CN" w:bidi="ar-SA"/>
        </w:rPr>
        <w:t>274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>:37021-37029.</w:t>
      </w:r>
    </w:p>
    <w:p>
      <w:pPr>
        <w:pStyle w:val="6"/>
        <w:bidi w:val="0"/>
        <w:ind w:left="0" w:firstLine="0"/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2 Mizuuchi M, Baker TA, Mizuuchi K. Assembly of the active form of the transposase-Mu DNA complex: a critical control point in Mu transposition. </w:t>
      </w:r>
      <w:r>
        <w:rPr>
          <w:rFonts w:asciiTheme="minorHAnsi" w:hAnsiTheme="minorHAnsi" w:eastAsiaTheme="minorEastAsia" w:cstheme="minorBidi"/>
          <w:i/>
          <w:kern w:val="2"/>
          <w:sz w:val="20"/>
          <w:szCs w:val="24"/>
          <w:lang w:val="en-US" w:eastAsia="zh-CN" w:bidi="ar-SA"/>
        </w:rPr>
        <w:t>Cell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 1992; </w:t>
      </w:r>
      <w:r>
        <w:rPr>
          <w:rFonts w:asciiTheme="minorHAnsi" w:hAnsiTheme="minorHAnsi" w:eastAsiaTheme="minorEastAsia" w:cstheme="minorBidi"/>
          <w:b/>
          <w:kern w:val="2"/>
          <w:sz w:val="20"/>
          <w:szCs w:val="24"/>
          <w:lang w:val="en-US" w:eastAsia="zh-CN" w:bidi="ar-SA"/>
        </w:rPr>
        <w:t>70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>:303-311.</w:t>
      </w:r>
    </w:p>
    <w:p>
      <w:pPr>
        <w:pStyle w:val="6"/>
        <w:bidi w:val="0"/>
        <w:ind w:left="0" w:firstLine="0"/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3 Sakai J, Chalmers RM, Kleckner N. Identification and characterization of a pre‐cleavage synaptic complex that is an early intermediate in Tn10 transposition. </w:t>
      </w:r>
      <w:r>
        <w:rPr>
          <w:rFonts w:asciiTheme="minorHAnsi" w:hAnsiTheme="minorHAnsi" w:eastAsiaTheme="minorEastAsia" w:cstheme="minorBidi"/>
          <w:i/>
          <w:kern w:val="2"/>
          <w:sz w:val="20"/>
          <w:szCs w:val="24"/>
          <w:lang w:val="en-US" w:eastAsia="zh-CN" w:bidi="ar-SA"/>
        </w:rPr>
        <w:t>The EMBO journal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 1995; </w:t>
      </w:r>
      <w:r>
        <w:rPr>
          <w:rFonts w:asciiTheme="minorHAnsi" w:hAnsiTheme="minorHAnsi" w:eastAsiaTheme="minorEastAsia" w:cstheme="minorBidi"/>
          <w:b/>
          <w:kern w:val="2"/>
          <w:sz w:val="20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>:4374-4383.</w:t>
      </w:r>
    </w:p>
    <w:p>
      <w:pPr>
        <w:pStyle w:val="6"/>
        <w:bidi w:val="0"/>
        <w:ind w:left="0" w:firstLine="0"/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4 Gradman RJ, Reznikoff WS. Tn5 synaptic complex formation: role of transposase residue W450. </w:t>
      </w:r>
      <w:r>
        <w:rPr>
          <w:rFonts w:asciiTheme="minorHAnsi" w:hAnsiTheme="minorHAnsi" w:eastAsiaTheme="minorEastAsia" w:cstheme="minorBidi"/>
          <w:i/>
          <w:kern w:val="2"/>
          <w:sz w:val="20"/>
          <w:szCs w:val="24"/>
          <w:lang w:val="en-US" w:eastAsia="zh-CN" w:bidi="ar-SA"/>
        </w:rPr>
        <w:t>Journal of bacteriology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 2008; </w:t>
      </w:r>
      <w:r>
        <w:rPr>
          <w:rFonts w:asciiTheme="minorHAnsi" w:hAnsiTheme="minorHAnsi" w:eastAsiaTheme="minorEastAsia" w:cstheme="minorBidi"/>
          <w:b/>
          <w:kern w:val="2"/>
          <w:sz w:val="20"/>
          <w:szCs w:val="24"/>
          <w:lang w:val="en-US" w:eastAsia="zh-CN" w:bidi="ar-SA"/>
        </w:rPr>
        <w:t>190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>:1484-1487.</w:t>
      </w:r>
    </w:p>
    <w:p>
      <w:pPr>
        <w:pStyle w:val="6"/>
        <w:bidi w:val="0"/>
        <w:ind w:left="0" w:firstLine="0"/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5 Reznikoff WS. Tn5 as a model for understanding DNA transposition. </w:t>
      </w:r>
      <w:r>
        <w:rPr>
          <w:rFonts w:asciiTheme="minorHAnsi" w:hAnsiTheme="minorHAnsi" w:eastAsiaTheme="minorEastAsia" w:cstheme="minorBidi"/>
          <w:i/>
          <w:kern w:val="2"/>
          <w:sz w:val="20"/>
          <w:szCs w:val="24"/>
          <w:lang w:val="en-US" w:eastAsia="zh-CN" w:bidi="ar-SA"/>
        </w:rPr>
        <w:t>Molecular microbiology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 xml:space="preserve"> 2003; </w:t>
      </w:r>
      <w:r>
        <w:rPr>
          <w:rFonts w:asciiTheme="minorHAnsi" w:hAnsiTheme="minorHAnsi" w:eastAsiaTheme="minorEastAsia" w:cstheme="minorBidi"/>
          <w:b/>
          <w:kern w:val="2"/>
          <w:sz w:val="20"/>
          <w:szCs w:val="24"/>
          <w:lang w:val="en-US" w:eastAsia="zh-CN" w:bidi="ar-SA"/>
        </w:rPr>
        <w:t>47</w:t>
      </w:r>
      <w:r>
        <w:rPr>
          <w:rFonts w:asciiTheme="minorHAnsi" w:hAnsiTheme="minorHAnsi" w:eastAsiaTheme="minorEastAsia" w:cstheme="minorBidi"/>
          <w:kern w:val="2"/>
          <w:sz w:val="20"/>
          <w:szCs w:val="24"/>
          <w:lang w:val="en-US" w:eastAsia="zh-CN" w:bidi="ar-SA"/>
        </w:rPr>
        <w:t>:1199-1206.</w:t>
      </w:r>
    </w:p>
    <w:p>
      <w:pPr>
        <w:pStyle w:val="6"/>
        <w:bidi w:val="0"/>
        <w:ind w:left="0" w:firstLine="0"/>
        <w:rPr>
          <w:rFonts w:hint="eastAsia"/>
          <w:b w:val="0"/>
          <w:i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66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470" w:leftChars="70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 Research&lt;/Style&gt;&lt;LeftDelim&gt;{&lt;/LeftDelim&gt;&lt;RightDelim&gt;}&lt;/RightDelim&gt;&lt;FontName&gt;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pft0pdsd9wrwcepxt6xwtp85xd5da20sdd9&quot;&gt;My EndNote Library&lt;record-ids&gt;&lt;item&gt;1&lt;/item&gt;&lt;item&gt;2&lt;/item&gt;&lt;item&gt;3&lt;/item&gt;&lt;item&gt;4&lt;/item&gt;&lt;item&gt;5&lt;/item&gt;&lt;/record-ids&gt;&lt;/item&gt;&lt;/Libraries&gt;"/>
  </w:docVars>
  <w:rsids>
    <w:rsidRoot w:val="00000000"/>
    <w:rsid w:val="03896D12"/>
    <w:rsid w:val="058214A6"/>
    <w:rsid w:val="07E70ACE"/>
    <w:rsid w:val="09BA4A91"/>
    <w:rsid w:val="09CD680A"/>
    <w:rsid w:val="0C8B60E1"/>
    <w:rsid w:val="0F7019D4"/>
    <w:rsid w:val="0FC22CF7"/>
    <w:rsid w:val="133A235F"/>
    <w:rsid w:val="135C1E08"/>
    <w:rsid w:val="13D11937"/>
    <w:rsid w:val="13D56F14"/>
    <w:rsid w:val="13DA77D8"/>
    <w:rsid w:val="19101BE6"/>
    <w:rsid w:val="1A312AB3"/>
    <w:rsid w:val="1A63203F"/>
    <w:rsid w:val="1DE50C88"/>
    <w:rsid w:val="22430C62"/>
    <w:rsid w:val="242C4583"/>
    <w:rsid w:val="261B2BC7"/>
    <w:rsid w:val="29E57A54"/>
    <w:rsid w:val="2AA73F3E"/>
    <w:rsid w:val="2B0B4B84"/>
    <w:rsid w:val="2B812B82"/>
    <w:rsid w:val="2E563E93"/>
    <w:rsid w:val="35723579"/>
    <w:rsid w:val="3621479F"/>
    <w:rsid w:val="3A7952B1"/>
    <w:rsid w:val="3AC615A5"/>
    <w:rsid w:val="3B0A0125"/>
    <w:rsid w:val="3B32191A"/>
    <w:rsid w:val="3C822EB6"/>
    <w:rsid w:val="3CF6060C"/>
    <w:rsid w:val="3D4A1742"/>
    <w:rsid w:val="3FB1262F"/>
    <w:rsid w:val="407F2792"/>
    <w:rsid w:val="40F478F6"/>
    <w:rsid w:val="419D2433"/>
    <w:rsid w:val="43BD1F09"/>
    <w:rsid w:val="440B6292"/>
    <w:rsid w:val="44DE035C"/>
    <w:rsid w:val="455550B4"/>
    <w:rsid w:val="48AD37E2"/>
    <w:rsid w:val="4A7F7E91"/>
    <w:rsid w:val="4BE73AD1"/>
    <w:rsid w:val="4E604971"/>
    <w:rsid w:val="4E6E5AA5"/>
    <w:rsid w:val="4ED7131E"/>
    <w:rsid w:val="50934357"/>
    <w:rsid w:val="52294F85"/>
    <w:rsid w:val="55545B03"/>
    <w:rsid w:val="58E654C5"/>
    <w:rsid w:val="5ABF6F61"/>
    <w:rsid w:val="5B8005EC"/>
    <w:rsid w:val="5DCF08F3"/>
    <w:rsid w:val="5E342E59"/>
    <w:rsid w:val="60E63662"/>
    <w:rsid w:val="617F1987"/>
    <w:rsid w:val="61D31C70"/>
    <w:rsid w:val="624A654E"/>
    <w:rsid w:val="638847C1"/>
    <w:rsid w:val="64A60BB0"/>
    <w:rsid w:val="64A80A0F"/>
    <w:rsid w:val="66DA436E"/>
    <w:rsid w:val="6A0A4E7A"/>
    <w:rsid w:val="6CED797D"/>
    <w:rsid w:val="6D3D009B"/>
    <w:rsid w:val="6ED86BAF"/>
    <w:rsid w:val="710676C8"/>
    <w:rsid w:val="7486009E"/>
    <w:rsid w:val="755375E2"/>
    <w:rsid w:val="7663402C"/>
    <w:rsid w:val="775D4EE7"/>
    <w:rsid w:val="784D2E96"/>
    <w:rsid w:val="7B737B16"/>
    <w:rsid w:val="7CA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EndNote Bibliography Title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Theme="minorHAnsi" w:hAnsiTheme="minorHAnsi" w:eastAsiaTheme="minorEastAsia" w:cstheme="minorBidi"/>
      <w:kern w:val="2"/>
      <w:sz w:val="20"/>
      <w:szCs w:val="24"/>
      <w:lang w:val="en-US" w:eastAsia="zh-CN" w:bidi="ar-SA"/>
    </w:rPr>
  </w:style>
  <w:style w:type="paragraph" w:customStyle="1" w:styleId="6">
    <w:name w:val="EndNote Bibliograph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</w:pPr>
    <w:rPr>
      <w:rFonts w:asciiTheme="minorHAnsi" w:hAnsiTheme="minorHAnsi" w:eastAsiaTheme="minorEastAsia" w:cstheme="minorBidi"/>
      <w:kern w:val="2"/>
      <w:sz w:val="20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张圆圆</cp:lastModifiedBy>
  <dcterms:modified xsi:type="dcterms:W3CDTF">2020-01-15T09:15:36Z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