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68" w:rsidRPr="000260AD" w:rsidRDefault="009D1B68" w:rsidP="009D1B6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Supplementary File 1A</w:t>
      </w:r>
      <w:r w:rsidRPr="000260AD">
        <w:rPr>
          <w:rFonts w:ascii="Times New Roman" w:hAnsi="Times New Roman"/>
          <w:b/>
          <w:sz w:val="20"/>
          <w:szCs w:val="20"/>
        </w:rPr>
        <w:t>. Area under the ROC curve analyses for the various testing methods depending on the variable selection protocol using data without batch adjustment.</w:t>
      </w:r>
      <w:r w:rsidRPr="000260AD">
        <w:rPr>
          <w:rFonts w:ascii="Times New Roman" w:hAnsi="Times New Roman"/>
          <w:sz w:val="20"/>
          <w:szCs w:val="20"/>
        </w:rPr>
        <w:t xml:space="preserve"> Similar to the batch-adjusted data, the neural network using the fold change variable outperformed the other methods in terms of classifier accuracy and did not overfit the predictions to the training set.</w:t>
      </w:r>
    </w:p>
    <w:p w:rsidR="009D1B68" w:rsidRPr="000260AD" w:rsidRDefault="009D1B68" w:rsidP="009D1B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1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8"/>
        <w:gridCol w:w="1638"/>
        <w:gridCol w:w="1728"/>
        <w:gridCol w:w="1728"/>
        <w:gridCol w:w="1728"/>
        <w:gridCol w:w="1728"/>
        <w:gridCol w:w="1728"/>
      </w:tblGrid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94" w:type="dxa"/>
            <w:gridSpan w:val="3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Training set (N=135)</w:t>
            </w: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Testing set (N=44)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094" w:type="dxa"/>
            <w:gridSpan w:val="3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Variable selection</w:t>
            </w: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Variable selection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Significance-based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CFS subset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Fold change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Significance-based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CFS subset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Fold change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LDA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0.81 (0.74-0.88)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0.76 (0.68-0.84)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0.73 (0.65-0.82)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0.78 (0.65-0.92)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0.75 (0.60-0.89)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0.74 (0.59-0.88)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LR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0.82 (0.75-0.89)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0.76 (0.68-0.84)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0.74 (0.65-0.82)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0.81 (0.68-0.94)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0.75 (0.60-0.89)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0.78 (0.64-0.92)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NN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0.89 (0.84-0.95)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(0.73-0.88)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0.93 (0.89-0.98)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0.77 (0.63-0.91)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0.71 (0.56-0.86)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0.90 (0.80-0.99)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SVM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0.82 (0.75-0.89)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0.66 (0.57-0.75)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0.87 (0.81-0.93)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0.74 (0.60-0.89)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0.66 (0.50-0.82)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0.74 (0.60-0.89)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MARS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0.87 (0.81-0.93)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0.84 (0.77-0.91)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0.79 (0.71-0.86)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0.56 (0.39-0.73)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0.69 (0.54-0.85)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0.67 (0.51-0.83)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Bayes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0.81 (0.73-0.88)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(0.73-0.87)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(0.73-0.87)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0.74 (0.60-0.89)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0.64 (0.48-0.81)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0.72 (0.57-0.87)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LADtree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0.97 (0.94-1.00)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0.96 (0.92-0.99)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0.96 (0.92-0.99)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0.64 (0.48-0.81)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0.67 (0.51-0.83)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0.59 (0.42-0.76)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FT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0.81 (0.74-0.89)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0.75 (0.66-0.83)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0.83 (0.77-0.90)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0.81 (0.68-0.94)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0.60 (0.44-0.77)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0.82 (0.70-0.95)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Bayes</w:t>
            </w:r>
          </w:p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Net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(0.73-0.88)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(0.73-0.88)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(0.73-0.88)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0.65 (0.49-0.81)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0.65 (0.49-0.81)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0.65 (0.49-0.81)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1.00 (1.00-1.00)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1.00 (1.00-1.00)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1.00 (1.00-1.00)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0.77 (0.63-0.91)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0.72 (0.57-0.87)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0.68 (0.52-0.84)</w:t>
            </w:r>
          </w:p>
        </w:tc>
      </w:tr>
      <w:tr w:rsidR="009D1B68" w:rsidRPr="000260AD" w:rsidTr="00453FC9">
        <w:tc>
          <w:tcPr>
            <w:tcW w:w="109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0.83 (0.76-0.90)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0.78 (0.70-0.85)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0.81 (0.74-0.88)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(0.67-0.93)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0.72 (0.57-0.87)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1B68" w:rsidRPr="00DE2D0E" w:rsidRDefault="009D1B68" w:rsidP="00453FC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0.80 (0.66-0.93)</w:t>
            </w:r>
          </w:p>
        </w:tc>
      </w:tr>
      <w:tr w:rsidR="009D1B68" w:rsidRPr="000260AD" w:rsidTr="00453FC9">
        <w:tc>
          <w:tcPr>
            <w:tcW w:w="11376" w:type="dxa"/>
            <w:gridSpan w:val="7"/>
            <w:shd w:val="clear" w:color="auto" w:fill="auto"/>
            <w:vAlign w:val="center"/>
          </w:tcPr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LDA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Linear discriminant analysis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LG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Logistic regression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NN – Neural network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SVM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Support vector machine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Bayes – Naive Bayes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MARS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Multivariate adaptive regression splines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FT – Functional tree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Bayes net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Bayesian network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RF – Random forest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EN – Elastic network regression</w:t>
            </w:r>
          </w:p>
          <w:p w:rsidR="009D1B68" w:rsidRPr="00DE2D0E" w:rsidRDefault="009D1B68" w:rsidP="00453FC9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95% Confidence intervals in parentheses</w:t>
            </w:r>
          </w:p>
        </w:tc>
      </w:tr>
    </w:tbl>
    <w:p w:rsidR="009D1B68" w:rsidRPr="000260AD" w:rsidRDefault="009D1B68" w:rsidP="009D1B6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Supplementary File 1B</w:t>
      </w:r>
      <w:r w:rsidRPr="000260AD">
        <w:rPr>
          <w:rFonts w:ascii="Times New Roman" w:hAnsi="Times New Roman"/>
          <w:b/>
          <w:sz w:val="20"/>
          <w:szCs w:val="20"/>
        </w:rPr>
        <w:t xml:space="preserve"> Individual sample predictions of the tested classification models built on the unadjusted fold change-based variable selection miRNA subset.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5"/>
        <w:gridCol w:w="728"/>
        <w:gridCol w:w="643"/>
        <w:gridCol w:w="685"/>
        <w:gridCol w:w="1593"/>
        <w:gridCol w:w="537"/>
        <w:gridCol w:w="745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9D1B68" w:rsidRPr="00DE2D0E" w:rsidTr="00453FC9">
        <w:trPr>
          <w:cantSplit/>
          <w:trHeight w:val="1296"/>
          <w:tblHeader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Study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Stage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Grade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Histology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Age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CA-125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LDA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NN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Bayes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MARS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LAD Tree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FT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Bayes net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EN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CA-125 &gt;35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25.8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87.6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42.8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382.2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450.3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277.2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3723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34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1889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31.2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51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1726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107.9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302.6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172.4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367.3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69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1212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209.2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38.9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87.2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86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7005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3257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35.2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1132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mixed with clear cell adenocarcinoma or endometroid component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542.6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102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31.4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88.6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721.1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mixed with clear cell adenocarcinoma or endometroid component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118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66" w:type="pct"/>
            <w:shd w:val="clear" w:color="auto" w:fill="auto"/>
          </w:tcPr>
          <w:p w:rsidR="009D1B68" w:rsidRPr="00DE2D0E" w:rsidRDefault="009D1B68" w:rsidP="00453F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2589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3011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302.6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fibrothecoma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e1009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2974.8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simple Cyst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795.6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152.7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mucinous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252.3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e1015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clear cell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e1019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225.9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416.2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metastatic uterine myxoid leiomyosarcoma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54.2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e1029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adenofibroma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metastatic uterine papillary serous 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482.9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1369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metastatic uterine epithelioid leiomyosarcoma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e1034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metastatic endometrioid endometrial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mucinous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49.8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cystadenofibroma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e1039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benign Brenner tumor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cystadenofibroma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cystadenofibroma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87.2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200.5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172.7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e1049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1889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e1050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borderline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endometrioid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157.3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atypical leiomyoma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114.2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e1054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mucinous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e1055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cystadenofibroma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e1056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mucinous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e1057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metastatic endometrioid endometrial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e1058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benign Brenner tumor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e1059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adult Granulosa Cell tumor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e1060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fibroma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e1061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adenocarcinoma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e1062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serous cystadenoma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e1063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leiomyoma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49" w:type="pct"/>
            <w:shd w:val="clear" w:color="auto" w:fill="auto"/>
            <w:textDirection w:val="tbRl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</w:t>
            </w:r>
          </w:p>
        </w:tc>
      </w:tr>
      <w:tr w:rsidR="009D1B68" w:rsidRPr="00DE2D0E" w:rsidTr="00453FC9">
        <w:trPr>
          <w:cantSplit/>
          <w:trHeight w:val="720"/>
        </w:trPr>
        <w:tc>
          <w:tcPr>
            <w:tcW w:w="5000" w:type="pct"/>
            <w:gridSpan w:val="19"/>
            <w:shd w:val="clear" w:color="auto" w:fill="auto"/>
            <w:vAlign w:val="center"/>
          </w:tcPr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PMP – Pelvic Mass Protocol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NECC – New England Case Control Study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ERA – Effects of Regional Analgesia on Serum miRNA after Oncology Surgery Study</w:t>
            </w:r>
          </w:p>
          <w:p w:rsidR="009D1B68" w:rsidRPr="00DE2D0E" w:rsidRDefault="009D1B68" w:rsidP="00453FC9">
            <w:pPr>
              <w:spacing w:after="0" w:line="240" w:lineRule="auto"/>
              <w:ind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* - Not applicable; ‡ Not available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LDA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Linear discriminant analysis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LR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Logistic regression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NN – Neural network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SVM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Support vector machine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Bayes – Naive Bayes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MARS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Multivariate adaptive regression splines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FT – Functional tree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Bayes net - </w:t>
            </w:r>
            <w:r w:rsidRPr="00DE2D0E">
              <w:rPr>
                <w:rFonts w:ascii="Times New Roman" w:hAnsi="Times New Roman"/>
                <w:sz w:val="20"/>
                <w:szCs w:val="20"/>
              </w:rPr>
              <w:t>Bayesian network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RF – Random forest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EN – Elastic network regression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sz w:val="20"/>
                <w:szCs w:val="20"/>
              </w:rPr>
              <w:t>CA-125&gt;35 – Serum CA-125 level greater than 35 unit/ml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BBC – Benign, Borderline, or Control</w:t>
            </w:r>
          </w:p>
          <w:p w:rsidR="009D1B68" w:rsidRPr="00DE2D0E" w:rsidRDefault="009D1B68" w:rsidP="00453FC9">
            <w:pPr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E2D0E">
              <w:rPr>
                <w:rFonts w:ascii="Times New Roman" w:hAnsi="Times New Roman"/>
                <w:color w:val="000000"/>
                <w:sz w:val="20"/>
                <w:szCs w:val="20"/>
              </w:rPr>
              <w:t>CA - Cancer</w:t>
            </w:r>
          </w:p>
        </w:tc>
      </w:tr>
    </w:tbl>
    <w:p w:rsidR="009D1B68" w:rsidRPr="002D5DCC" w:rsidRDefault="009D1B68" w:rsidP="009D1B68">
      <w:pPr>
        <w:spacing w:line="240" w:lineRule="auto"/>
        <w:rPr>
          <w:rFonts w:ascii="Times New Roman" w:hAnsi="Times New Roman"/>
          <w:sz w:val="20"/>
          <w:szCs w:val="20"/>
        </w:rPr>
        <w:sectPr w:rsidR="009D1B68" w:rsidRPr="002D5DCC" w:rsidSect="007B0105">
          <w:footerReference w:type="default" r:id="rId5"/>
          <w:pgSz w:w="12240" w:h="15840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  <w:r w:rsidRPr="000260AD">
        <w:rPr>
          <w:rFonts w:ascii="Times New Roman" w:hAnsi="Times New Roman"/>
          <w:sz w:val="20"/>
          <w:szCs w:val="20"/>
        </w:rPr>
        <w:br w:type="page"/>
      </w:r>
    </w:p>
    <w:p w:rsidR="00744C10" w:rsidRDefault="009D1B68" w:rsidP="009D1B68"/>
    <w:sectPr w:rsidR="00744C10" w:rsidSect="00D8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D5F" w:rsidRDefault="009D1B68">
    <w:pPr>
      <w:pStyle w:val="Footer"/>
      <w:jc w:val="center"/>
    </w:pPr>
    <w:r w:rsidRPr="00B175DB">
      <w:rPr>
        <w:rFonts w:ascii="Times New Roman" w:hAnsi="Times New Roman"/>
      </w:rPr>
      <w:fldChar w:fldCharType="begin"/>
    </w:r>
    <w:r w:rsidRPr="00B175DB">
      <w:rPr>
        <w:rFonts w:ascii="Times New Roman" w:hAnsi="Times New Roman"/>
      </w:rPr>
      <w:instrText xml:space="preserve"> PAGE   \* MERGEFORMAT </w:instrText>
    </w:r>
    <w:r w:rsidRPr="00B175DB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 w:rsidRPr="00B175DB">
      <w:rPr>
        <w:rFonts w:ascii="Times New Roman" w:hAnsi="Times New Roman"/>
        <w:noProof/>
      </w:rPr>
      <w:fldChar w:fldCharType="end"/>
    </w:r>
  </w:p>
  <w:p w:rsidR="00B11D5F" w:rsidRDefault="009D1B68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6015E"/>
    <w:multiLevelType w:val="hybridMultilevel"/>
    <w:tmpl w:val="5220E828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37867"/>
    <w:multiLevelType w:val="hybridMultilevel"/>
    <w:tmpl w:val="C0C4D92A"/>
    <w:lvl w:ilvl="0" w:tplc="8676F118">
      <w:start w:val="8"/>
      <w:numFmt w:val="bullet"/>
      <w:lvlText w:val=""/>
      <w:lvlJc w:val="left"/>
      <w:pPr>
        <w:ind w:left="473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7323C"/>
    <w:multiLevelType w:val="hybridMultilevel"/>
    <w:tmpl w:val="EFA65E20"/>
    <w:lvl w:ilvl="0" w:tplc="8676F118">
      <w:start w:val="8"/>
      <w:numFmt w:val="bullet"/>
      <w:lvlText w:val=""/>
      <w:lvlJc w:val="left"/>
      <w:pPr>
        <w:ind w:left="473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C6D65"/>
    <w:multiLevelType w:val="multilevel"/>
    <w:tmpl w:val="32B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9E7A40"/>
    <w:multiLevelType w:val="hybridMultilevel"/>
    <w:tmpl w:val="C362FFA6"/>
    <w:lvl w:ilvl="0" w:tplc="8ED8837C">
      <w:start w:val="16"/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53C8F"/>
    <w:multiLevelType w:val="hybridMultilevel"/>
    <w:tmpl w:val="4B1C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036DB"/>
    <w:multiLevelType w:val="hybridMultilevel"/>
    <w:tmpl w:val="AD7AD2E0"/>
    <w:lvl w:ilvl="0" w:tplc="8676F118">
      <w:start w:val="8"/>
      <w:numFmt w:val="bullet"/>
      <w:lvlText w:val=""/>
      <w:lvlJc w:val="left"/>
      <w:pPr>
        <w:ind w:left="473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9D1B68"/>
    <w:rsid w:val="00203A4E"/>
    <w:rsid w:val="00822751"/>
    <w:rsid w:val="009D1B68"/>
    <w:rsid w:val="00D8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68"/>
    <w:rPr>
      <w:rFonts w:ascii="Calibri" w:eastAsia="Times New Roman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9D1B68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D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68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9D1B68"/>
  </w:style>
  <w:style w:type="character" w:customStyle="1" w:styleId="Heading4Char">
    <w:name w:val="Heading 4 Char"/>
    <w:basedOn w:val="DefaultParagraphFont"/>
    <w:link w:val="Heading4"/>
    <w:uiPriority w:val="9"/>
    <w:rsid w:val="009D1B6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9D1B68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9D1B68"/>
    <w:rPr>
      <w:rFonts w:ascii="Calibri" w:eastAsia="Times New Roman" w:hAnsi="Calibri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9D1B68"/>
    <w:pPr>
      <w:spacing w:line="240" w:lineRule="auto"/>
    </w:pPr>
    <w:rPr>
      <w:noProof/>
    </w:rPr>
  </w:style>
  <w:style w:type="character" w:customStyle="1" w:styleId="EndNoteBibliographyChar">
    <w:name w:val="EndNote Bibliography Char"/>
    <w:link w:val="EndNoteBibliography"/>
    <w:rsid w:val="009D1B68"/>
    <w:rPr>
      <w:rFonts w:ascii="Calibri" w:eastAsia="Times New Roman" w:hAnsi="Calibri" w:cs="Times New Roman"/>
      <w:noProof/>
    </w:rPr>
  </w:style>
  <w:style w:type="character" w:customStyle="1" w:styleId="apple-converted-space">
    <w:name w:val="apple-converted-space"/>
    <w:basedOn w:val="DefaultParagraphFont"/>
    <w:rsid w:val="009D1B68"/>
  </w:style>
  <w:style w:type="character" w:styleId="Hyperlink">
    <w:name w:val="Hyperlink"/>
    <w:uiPriority w:val="99"/>
    <w:unhideWhenUsed/>
    <w:rsid w:val="009D1B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68"/>
    <w:rPr>
      <w:rFonts w:ascii="Calibri" w:eastAsia="Times New Roman" w:hAnsi="Calibri" w:cs="Times New Roman"/>
    </w:rPr>
  </w:style>
  <w:style w:type="character" w:styleId="Strong">
    <w:name w:val="Strong"/>
    <w:uiPriority w:val="22"/>
    <w:qFormat/>
    <w:rsid w:val="009D1B68"/>
    <w:rPr>
      <w:b/>
      <w:bCs/>
    </w:rPr>
  </w:style>
  <w:style w:type="character" w:customStyle="1" w:styleId="phonenumber">
    <w:name w:val="phonenumber"/>
    <w:rsid w:val="009D1B68"/>
  </w:style>
  <w:style w:type="paragraph" w:customStyle="1" w:styleId="Paragraph">
    <w:name w:val="Paragraph"/>
    <w:basedOn w:val="Normal"/>
    <w:rsid w:val="009D1B68"/>
    <w:pPr>
      <w:spacing w:before="120"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customStyle="1" w:styleId="Head">
    <w:name w:val="Head"/>
    <w:basedOn w:val="Normal"/>
    <w:rsid w:val="009D1B68"/>
    <w:pPr>
      <w:keepNext/>
      <w:spacing w:before="120" w:after="120" w:line="240" w:lineRule="auto"/>
      <w:jc w:val="center"/>
      <w:outlineLvl w:val="0"/>
    </w:pPr>
    <w:rPr>
      <w:rFonts w:ascii="Times New Roman" w:hAnsi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9D1B68"/>
    <w:pPr>
      <w:spacing w:before="120" w:after="0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9D1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1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1B68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B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B6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68"/>
    <w:rPr>
      <w:rFonts w:ascii="Tahoma" w:eastAsia="Times New Roman" w:hAnsi="Tahoma" w:cs="Times New Roman"/>
      <w:sz w:val="16"/>
      <w:szCs w:val="16"/>
    </w:rPr>
  </w:style>
  <w:style w:type="table" w:styleId="TableGrid">
    <w:name w:val="Table Grid"/>
    <w:basedOn w:val="TableNormal"/>
    <w:uiPriority w:val="59"/>
    <w:rsid w:val="009D1B6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D1B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9D1B68"/>
    <w:rPr>
      <w:color w:val="800080"/>
      <w:u w:val="single"/>
    </w:rPr>
  </w:style>
  <w:style w:type="paragraph" w:customStyle="1" w:styleId="Default">
    <w:name w:val="Default"/>
    <w:rsid w:val="009D1B6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interref">
    <w:name w:val="interref"/>
    <w:basedOn w:val="DefaultParagraphFont"/>
    <w:rsid w:val="009D1B68"/>
  </w:style>
  <w:style w:type="paragraph" w:styleId="PlainText">
    <w:name w:val="Plain Text"/>
    <w:basedOn w:val="Normal"/>
    <w:link w:val="PlainTextChar"/>
    <w:uiPriority w:val="99"/>
    <w:unhideWhenUsed/>
    <w:rsid w:val="009D1B68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1B6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D1B68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2644</Words>
  <Characters>15076</Characters>
  <Application>Microsoft Office Word</Application>
  <DocSecurity>0</DocSecurity>
  <Lines>125</Lines>
  <Paragraphs>35</Paragraphs>
  <ScaleCrop>false</ScaleCrop>
  <Company>Partners HealthCare System, Inc.</Company>
  <LinksUpToDate>false</LinksUpToDate>
  <CharactersWithSpaces>17685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Elias</dc:creator>
  <cp:lastModifiedBy>Kevin Elias</cp:lastModifiedBy>
  <cp:revision>1</cp:revision>
  <dcterms:created xsi:type="dcterms:W3CDTF">2017-06-20T16:52:00Z</dcterms:created>
  <dcterms:modified xsi:type="dcterms:W3CDTF">2017-06-20T16:53:00Z</dcterms:modified>
</cp:coreProperties>
</file>