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4302A"/>
          <w:sz w:val="64"/>
          <w:szCs w:val="64"/>
        </w:rPr>
        <w:t xml:space="preserve">Two farms, one harvest</w:t>
      </w:r>
    </w:p>
    <w:p>
      <w:pPr>
        <w:spacing w:after="600"/>
      </w:pPr>
      <w:r>
        <w:rPr>
          <w:color w:val="1F5A43"/>
          <w:sz w:val="36"/>
          <w:szCs w:val="36"/>
        </w:rPr>
        <w:t xml:space="preserve">Presentation preparation guide</w:t>
      </w:r>
    </w:p>
    <w:p>
      <w:pPr>
        <w:spacing w:after="120"/>
        <w:rPr>
          <w:sz w:val="24"/>
          <w:szCs w:val="24"/>
        </w:rPr>
      </w:pPr>
      <w:r>
        <w:rPr>
          <w:sz w:val="24"/>
          <w:szCs w:val="24"/>
        </w:rPr>
        <w:t xml:space="preserve">NISR 2026 Infographic Competition, Seasonal Agricultural Survey 2025 topic</w:t>
      </w:r>
    </w:p>
    <w:p>
      <w:pPr>
        <w:spacing w:after="120"/>
        <w:rPr>
          <w:b/>
          <w:bCs/>
          <w:sz w:val="24"/>
          <w:szCs w:val="24"/>
        </w:rPr>
      </w:pPr>
      <w:r>
        <w:rPr>
          <w:b/>
          <w:bCs/>
          <w:sz w:val="24"/>
          <w:szCs w:val="24"/>
        </w:rPr>
        <w:t xml:space="preserve">Team Devotha-Kevine, INES-Ruhengeri (Institute of Applied Sciences)</w:t>
      </w:r>
    </w:p>
    <w:p>
      <w:pPr>
        <w:spacing w:before="600"/>
      </w:pPr>
      <w:r>
        <w:rPr>
          <w:color w:val="56665E"/>
        </w:rPr>
        <w:t xml:space="preserve">Files that go with this guide: Two-Farms-One-Harvest-Presentation.pptx (slides with speaker notes), the static poster in three languages, and the dynamic page.</w:t>
      </w:r>
    </w:p>
    <w:p>
      <w:r>
        <w:br w:type="page"/>
      </w:r>
    </w:p>
    <w:p>
      <w:pPr>
        <w:pStyle w:val="Heading1"/>
      </w:pPr>
      <w:r>
        <w:t xml:space="preserve">1. The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2EB" w:color="auto" w:val="clear"/>
            <w:tcMar>
              <w:top w:type="dxa" w:w="160"/>
              <w:left w:type="dxa" w:w="220"/>
              <w:bottom w:type="dxa" w:w="160"/>
              <w:right w:type="dxa" w:w="220"/>
            </w:tcMar>
          </w:tcPr>
          <w:p>
            <w:pPr>
              <w:spacing w:after="60"/>
            </w:pPr>
            <w:r>
              <w:rPr>
                <w:b/>
                <w:bCs/>
                <w:color w:val="1F5A43"/>
              </w:rPr>
              <w:t xml:space="preserve">Our story in one sentence</w:t>
            </w:r>
          </w:p>
          <w:p>
            <w:r>
              <w:rPr>
                <w:b/>
                <w:bCs/>
                <w:color w:val="14302A"/>
                <w:sz w:val="26"/>
                <w:szCs w:val="26"/>
              </w:rPr>
              <w:t xml:space="preserve">Smallholders already feed their soil. Getting improved seed and fertilizer into their hands is where the biggest gap in the 2025 data lies.</w:t>
            </w:r>
          </w:p>
        </w:tc>
      </w:tr>
    </w:tbl>
    <w:p>
      <w:pPr>
        <w:spacing w:after="120"/>
      </w:pPr>
      <w:r>
        <w:t xml:space="preserve"/>
      </w:r>
    </w:p>
    <w:p>
      <w:pPr>
        <w:pStyle w:val="Heading2"/>
      </w:pPr>
      <w:r>
        <w:t xml:space="preserve">Key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Date</w:t>
            </w:r>
          </w:p>
        </w:tc>
        <w:tc>
          <w:tcPr>
            <w:tcW w:type="dxa" w:w="5826"/>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What happens</w:t>
            </w:r>
          </w:p>
        </w:tc>
      </w:tr>
      <w:tr>
        <w:tc>
          <w:tcPr>
            <w:tcW w:type="dxa" w:w="32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31 October 2026</w:t>
            </w:r>
          </w:p>
        </w:tc>
        <w:tc>
          <w:tcPr>
            <w:tcW w:type="dxa" w:w="58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Submission deadline. The submission link goes up on the NISR website 10 days before.</w:t>
            </w:r>
          </w:p>
        </w:tc>
      </w:tr>
      <w:tr>
        <w:tc>
          <w:tcPr>
            <w:tcW w:type="dxa" w:w="32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15 November 2026</w:t>
            </w:r>
          </w:p>
        </w:tc>
        <w:tc>
          <w:tcPr>
            <w:tcW w:type="dxa" w:w="58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Results of the evaluation announced</w:t>
            </w:r>
          </w:p>
        </w:tc>
      </w:tr>
      <w:tr>
        <w:tc>
          <w:tcPr>
            <w:tcW w:type="dxa" w:w="32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21 to 29 November 2026</w:t>
            </w:r>
          </w:p>
        </w:tc>
        <w:tc>
          <w:tcPr>
            <w:tcW w:type="dxa" w:w="58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Technical mentorship, skills development and final presentation</w:t>
            </w:r>
          </w:p>
        </w:tc>
      </w:tr>
      <w:tr>
        <w:tc>
          <w:tcPr>
            <w:tcW w:type="dxa" w:w="32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December 2026</w:t>
            </w:r>
          </w:p>
        </w:tc>
        <w:tc>
          <w:tcPr>
            <w:tcW w:type="dxa" w:w="58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Awards ceremony (date to be communicated)</w:t>
            </w:r>
          </w:p>
        </w:tc>
      </w:tr>
    </w:tbl>
    <w:p>
      <w:pPr>
        <w:spacing w:after="120"/>
      </w:pPr>
      <w:r>
        <w:t xml:space="preserve"/>
      </w:r>
    </w:p>
    <w:p>
      <w:pPr>
        <w:pStyle w:val="Heading2"/>
      </w:pPr>
      <w:r>
        <w:t xml:space="preserve">Contact</w:t>
      </w:r>
    </w:p>
    <w:p>
      <w:pPr>
        <w:spacing w:after="120"/>
      </w:pPr>
      <w:r>
        <w:t xml:space="preserve">Cyprien Ndayisenga, NISR: cyprien.ndayisenga@statistics.gov.rw, tel. 0788 460 189</w:t>
      </w:r>
    </w:p>
    <w:p>
      <w:pPr>
        <w:pStyle w:val="Heading2"/>
      </w:pPr>
      <w:r>
        <w:t xml:space="preserve">Timing</w:t>
      </w:r>
    </w:p>
    <w:p>
      <w:pPr>
        <w:spacing w:after="120"/>
      </w:pPr>
      <w:r>
        <w:t xml:space="preserve">The full talk runs about 11 minutes, including a 3-minute live demo. If you are given less time, shorten slides 7 and 8 first, then the demo. Never cut the findings on slides 4 to 6 or the closing message.</w:t>
      </w:r>
    </w:p>
    <w:p>
      <w:r>
        <w:br w:type="page"/>
      </w:r>
    </w:p>
    <w:p>
      <w:pPr>
        <w:pStyle w:val="Heading1"/>
      </w:pPr>
      <w:r>
        <w:t xml:space="preserve">2. Running order</w:t>
      </w:r>
    </w:p>
    <w:p>
      <w:pPr>
        <w:spacing w:after="120"/>
      </w:pPr>
      <w:r>
        <w:t xml:space="preserve">Presenter 1 opens, sets up the data and closes. Presenter 2 carries the main findings and the demo. Decide together who is Presenter 1 and Presenter 2, then write your names in the second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2400"/>
        <w:gridCol w:w="1526"/>
      </w:tblGrid>
      <w:tr>
        <w:trPr>
          <w:tblHeader/>
        </w:trPr>
        <w:tc>
          <w:tcPr>
            <w:tcW w:type="dxa" w:w="7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w:t>
            </w:r>
          </w:p>
        </w:tc>
        <w:tc>
          <w:tcPr>
            <w:tcW w:type="dxa" w:w="44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Slide</w:t>
            </w:r>
          </w:p>
        </w:tc>
        <w:tc>
          <w:tcPr>
            <w:tcW w:type="dxa" w:w="24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Presenter</w:t>
            </w:r>
          </w:p>
        </w:tc>
        <w:tc>
          <w:tcPr>
            <w:tcW w:type="dxa" w:w="1526"/>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Time</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Two farms, one harvest</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1</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0:30</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2</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Why this story matters</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1</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3</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Our data and method</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1</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4</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The input gap</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2</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1:00</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5</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One input runs the other way</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2</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6</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The yield gap</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2</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1:00</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7</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Three seasons, one year</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1</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8</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What came out of the ground</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1</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9</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Two infographics, one story</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2</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10</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Live demo</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2</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3:00</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11</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Built to be accessible</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2</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0:45</w:t>
            </w:r>
          </w:p>
        </w:tc>
      </w:tr>
      <w:tr>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12</w:t>
            </w:r>
          </w:p>
        </w:tc>
        <w:tc>
          <w:tcPr>
            <w:tcW w:type="dxa" w:w="4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The message</w:t>
            </w:r>
          </w:p>
        </w:tc>
        <w:tc>
          <w:tcPr>
            <w:tcW w:type="dxa" w:w="24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Presenter 1</w:t>
            </w:r>
          </w:p>
        </w:tc>
        <w:tc>
          <w:tcPr>
            <w:tcW w:type="dxa" w:w="1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0:30</w:t>
            </w:r>
          </w:p>
        </w:tc>
      </w:tr>
    </w:tbl>
    <w:p>
      <w:r>
        <w:br w:type="page"/>
      </w:r>
    </w:p>
    <w:p>
      <w:pPr>
        <w:pStyle w:val="Heading1"/>
      </w:pPr>
      <w:r>
        <w:t xml:space="preserve">3. Speaking script</w:t>
      </w:r>
    </w:p>
    <w:p>
      <w:pPr>
        <w:spacing w:after="120"/>
      </w:pPr>
      <w:r>
        <w:t xml:space="preserve">The same script is in the speaker notes of each slide. Learn the ideas, not the exact words: speak to the judges, and look at the slide only to point at a number.</w:t>
      </w:r>
    </w:p>
    <w:p>
      <w:pPr>
        <w:pStyle w:val="Heading2"/>
      </w:pPr>
      <w:r>
        <w:t xml:space="preserve">Slide 1: Two farms, one harvest</w:t>
      </w:r>
    </w:p>
    <w:p>
      <w:pPr>
        <w:spacing w:after="80"/>
      </w:pPr>
      <w:r>
        <w:rPr>
          <w:i/>
          <w:iCs/>
          <w:color w:val="56665E"/>
        </w:rPr>
        <w:t xml:space="preserve">Presenter 1, about 0:30</w:t>
      </w:r>
    </w:p>
    <w:p>
      <w:pPr>
        <w:spacing w:after="120"/>
      </w:pPr>
      <w:r>
        <w:t xml:space="preserve">Good morning. We are Team Devotha-Kevine from INES-Ruhengeri. Our infographic tells one story from the Seasonal Agricultural Survey 2025: small-scale and large-scale farmers work the same hills, but with very different tools, and they get very different harvests.</w:t>
      </w:r>
    </w:p>
    <w:p>
      <w:pPr>
        <w:pStyle w:val="Heading2"/>
      </w:pPr>
      <w:r>
        <w:t xml:space="preserve">Slide 2: Why this story matters</w:t>
      </w:r>
    </w:p>
    <w:p>
      <w:pPr>
        <w:spacing w:after="80"/>
      </w:pPr>
      <w:r>
        <w:rPr>
          <w:i/>
          <w:iCs/>
          <w:color w:val="56665E"/>
        </w:rPr>
        <w:t xml:space="preserve">Presenter 1, about 0:45</w:t>
      </w:r>
    </w:p>
    <w:p>
      <w:pPr>
        <w:spacing w:after="120"/>
      </w:pPr>
      <w:r>
        <w:t xml:space="preserve">Agriculture uses about 60 percent of Rwanda's land: 1.423 million of 2.376 million hectares in Season B. Most of that land is farmed by smallholders. So the question we asked the data was simple: where exactly is the gap between small and large farms, and what does it tell us?</w:t>
      </w:r>
    </w:p>
    <w:p>
      <w:pPr>
        <w:pStyle w:val="Heading2"/>
      </w:pPr>
      <w:r>
        <w:t xml:space="preserve">Slide 3: Our data and method</w:t>
      </w:r>
    </w:p>
    <w:p>
      <w:pPr>
        <w:spacing w:after="80"/>
      </w:pPr>
      <w:r>
        <w:rPr>
          <w:i/>
          <w:iCs/>
          <w:color w:val="56665E"/>
        </w:rPr>
        <w:t xml:space="preserve">Presenter 1, about 0:45</w:t>
      </w:r>
    </w:p>
    <w:p>
      <w:pPr>
        <w:spacing w:after="120"/>
      </w:pPr>
      <w:r>
        <w:t xml:space="preserve">Every figure comes from the NISR Seasonal Agricultural Survey Annual Report 2025, covering the 2024/2025 agricultural year and its three seasons. The survey covered 1,200 segments and about 380 large-scale farmers each season. We checked each number against the official report and labelled every chart with its season.</w:t>
      </w:r>
    </w:p>
    <w:p>
      <w:pPr>
        <w:pStyle w:val="Heading2"/>
      </w:pPr>
      <w:r>
        <w:t xml:space="preserve">Slide 4: The input gap</w:t>
      </w:r>
    </w:p>
    <w:p>
      <w:pPr>
        <w:spacing w:after="80"/>
      </w:pPr>
      <w:r>
        <w:rPr>
          <w:i/>
          <w:iCs/>
          <w:color w:val="56665E"/>
        </w:rPr>
        <w:t xml:space="preserve">Presenter 2, about 1:00</w:t>
      </w:r>
    </w:p>
    <w:p>
      <w:pPr>
        <w:spacing w:after="120"/>
      </w:pPr>
      <w:r>
        <w:t xml:space="preserve">In Season A, 85.4 percent of large-scale farmers planted improved seed, against 35.9 percent of smallholders. The same pattern holds for pesticides and inorganic fertilizer. Large-scale farmers are more than twice as likely to use improved seed and pesticides. In Season B the seed gap is even wider: 72.1 against 16.7 percent.</w:t>
      </w:r>
    </w:p>
    <w:p>
      <w:pPr>
        <w:pStyle w:val="Heading2"/>
      </w:pPr>
      <w:r>
        <w:t xml:space="preserve">Slide 5: One input runs the other way</w:t>
      </w:r>
    </w:p>
    <w:p>
      <w:pPr>
        <w:spacing w:after="80"/>
      </w:pPr>
      <w:r>
        <w:rPr>
          <w:i/>
          <w:iCs/>
          <w:color w:val="56665E"/>
        </w:rPr>
        <w:t xml:space="preserve">Presenter 2, about 0:45</w:t>
      </w:r>
    </w:p>
    <w:p>
      <w:pPr>
        <w:spacing w:after="120"/>
      </w:pPr>
      <w:r>
        <w:t xml:space="preserve">But one input runs the other way. Smallholders lead on organic fertilizer: 88.3 percent against 77.5 in Season A, and 81.2 against 63.8 in Season B. This matters for the story. Smallholders are not doing less. They work hard with what they have. The gap is about access to purchased inputs.</w:t>
      </w:r>
    </w:p>
    <w:p>
      <w:pPr>
        <w:pStyle w:val="Heading2"/>
      </w:pPr>
      <w:r>
        <w:t xml:space="preserve">Slide 6: The yield gap</w:t>
      </w:r>
    </w:p>
    <w:p>
      <w:pPr>
        <w:spacing w:after="80"/>
      </w:pPr>
      <w:r>
        <w:rPr>
          <w:i/>
          <w:iCs/>
          <w:color w:val="56665E"/>
        </w:rPr>
        <w:t xml:space="preserve">Presenter 2, about 1:00</w:t>
      </w:r>
    </w:p>
    <w:p>
      <w:pPr>
        <w:spacing w:after="120"/>
      </w:pPr>
      <w:r>
        <w:t xml:space="preserve">And the harvest differs too. Small-scale maize farmers harvested an average of 1.2 tonnes per hectare; large-scale farmers 4.2. That is 3.5 times more from the same area. For Irish potato in Season B it is 6.8 against 14.2 tonnes, about twice as much. We show differences here, not causes: the report does not prove that inputs alone explain the gap.</w:t>
      </w:r>
    </w:p>
    <w:p>
      <w:pPr>
        <w:pStyle w:val="Heading2"/>
      </w:pPr>
      <w:r>
        <w:t xml:space="preserve">Slide 7: Three seasons, one year</w:t>
      </w:r>
    </w:p>
    <w:p>
      <w:pPr>
        <w:spacing w:after="80"/>
      </w:pPr>
      <w:r>
        <w:rPr>
          <w:i/>
          <w:iCs/>
          <w:color w:val="56665E"/>
        </w:rPr>
        <w:t xml:space="preserve">Presenter 1, about 0:45</w:t>
      </w:r>
    </w:p>
    <w:p>
      <w:pPr>
        <w:spacing w:after="120"/>
      </w:pPr>
      <w:r>
        <w:t xml:space="preserve">Input use also changes across the year. Improved seed use falls from 37.3 percent of farmers in Season A to 18 percent in Season B. Pesticide use jumps to 67 percent in Season C, the short season in swamps and the volcanic zone, mainly for potatoes and vegetables.</w:t>
      </w:r>
    </w:p>
    <w:p>
      <w:pPr>
        <w:pStyle w:val="Heading2"/>
      </w:pPr>
      <w:r>
        <w:t xml:space="preserve">Slide 8: What came out of the ground</w:t>
      </w:r>
    </w:p>
    <w:p>
      <w:pPr>
        <w:spacing w:after="80"/>
      </w:pPr>
      <w:r>
        <w:rPr>
          <w:i/>
          <w:iCs/>
          <w:color w:val="56665E"/>
        </w:rPr>
        <w:t xml:space="preserve">Presenter 1, about 0:45</w:t>
      </w:r>
    </w:p>
    <w:p>
      <w:pPr>
        <w:spacing w:after="120"/>
      </w:pPr>
      <w:r>
        <w:t xml:space="preserve">Production in 2025 was mixed. Cassava reached 852,541 tonnes in Season B, up 8.8 percent. Irish potato grew in every season, including 17 percent in Season C. Maize fell 5.3 percent in Season A, to 481,246 tonnes. The four leading maize districts are all in the Eastern Province: Nyagatare, Gatsibo, Kirehe and Kayonza.</w:t>
      </w:r>
    </w:p>
    <w:p>
      <w:pPr>
        <w:pStyle w:val="Heading2"/>
      </w:pPr>
      <w:r>
        <w:t xml:space="preserve">Slide 9: Two infographics, one story</w:t>
      </w:r>
    </w:p>
    <w:p>
      <w:pPr>
        <w:spacing w:after="80"/>
      </w:pPr>
      <w:r>
        <w:rPr>
          <w:i/>
          <w:iCs/>
          <w:color w:val="56665E"/>
        </w:rPr>
        <w:t xml:space="preserve">Presenter 2, about 0:45</w:t>
      </w:r>
    </w:p>
    <w:p>
      <w:pPr>
        <w:spacing w:after="120"/>
      </w:pPr>
      <w:r>
        <w:t xml:space="preserve">We built two versions of the same story. The static poster comes in Kinyarwanda, English and French, and carries a QR code to the interactive version. The dynamic page lets anyone switch seasons, compare crops and explore districts.</w:t>
      </w:r>
    </w:p>
    <w:p>
      <w:pPr>
        <w:pStyle w:val="Heading2"/>
      </w:pPr>
      <w:r>
        <w:t xml:space="preserve">Slide 10: Live demo</w:t>
      </w:r>
    </w:p>
    <w:p>
      <w:pPr>
        <w:spacing w:after="80"/>
      </w:pPr>
      <w:r>
        <w:rPr>
          <w:i/>
          <w:iCs/>
          <w:color w:val="56665E"/>
        </w:rPr>
        <w:t xml:space="preserve">Presenter 2, about 3:00</w:t>
      </w:r>
    </w:p>
    <w:p>
      <w:pPr>
        <w:spacing w:after="120"/>
      </w:pPr>
      <w:r>
        <w:t xml:space="preserve">Let us show you. [Switch to the browser.] First we switch the page to Kinyarwanda. Then the input gap: Season A to Season B. Then the farm calculator: a half-hectare maize farm. Then the district map. Finally, we ask the AI assistant a question in Kinyarwanda, and one it should refuse, to show it only answers from the report.</w:t>
      </w:r>
    </w:p>
    <w:p>
      <w:pPr>
        <w:pStyle w:val="Heading2"/>
      </w:pPr>
      <w:r>
        <w:t xml:space="preserve">Slide 11: Built to be accessible</w:t>
      </w:r>
    </w:p>
    <w:p>
      <w:pPr>
        <w:spacing w:after="80"/>
      </w:pPr>
      <w:r>
        <w:rPr>
          <w:i/>
          <w:iCs/>
          <w:color w:val="56665E"/>
        </w:rPr>
        <w:t xml:space="preserve">Presenter 2, about 0:45</w:t>
      </w:r>
    </w:p>
    <w:p>
      <w:pPr>
        <w:spacing w:after="120"/>
      </w:pPr>
      <w:r>
        <w:t xml:space="preserve">Our innovations all serve one goal: making official statistics usable by people who are not statisticians. Three languages, a calculator that turns averages into one farm's harvest, a map, a season wheel, narration, and an AI assistant limited to the report's own figures.</w:t>
      </w:r>
    </w:p>
    <w:p>
      <w:pPr>
        <w:pStyle w:val="Heading2"/>
      </w:pPr>
      <w:r>
        <w:t xml:space="preserve">Slide 12: The message</w:t>
      </w:r>
    </w:p>
    <w:p>
      <w:pPr>
        <w:spacing w:after="80"/>
      </w:pPr>
      <w:r>
        <w:rPr>
          <w:i/>
          <w:iCs/>
          <w:color w:val="56665E"/>
        </w:rPr>
        <w:t xml:space="preserve">Presenter 1, about 0:30</w:t>
      </w:r>
    </w:p>
    <w:p>
      <w:pPr>
        <w:spacing w:after="120"/>
      </w:pPr>
      <w:r>
        <w:t xml:space="preserve">Our message: smallholders already feed their soil. Getting improved seed and fertilizer into their hands is where the biggest gap in the 2025 data lies. Thank you. We are happy to take your questions.</w:t>
      </w:r>
    </w:p>
    <w:p>
      <w:r>
        <w:br w:type="page"/>
      </w:r>
    </w:p>
    <w:p>
      <w:pPr>
        <w:pStyle w:val="Heading1"/>
      </w:pPr>
      <w:r>
        <w:t xml:space="preserve">4. Live demo plan</w:t>
      </w:r>
    </w:p>
    <w:p>
      <w:pPr>
        <w:spacing w:after="120"/>
      </w:pPr>
      <w:r>
        <w:t xml:space="preserve">The demo is where the judges see your innovation, so rehearse it until it takes under 3 minutes without hesitation.</w:t>
      </w:r>
    </w:p>
    <w:p>
      <w:pPr>
        <w:pStyle w:val="Heading2"/>
      </w:pPr>
      <w:r>
        <w:t xml:space="preserve">Steps</w:t>
      </w:r>
    </w:p>
    <w:p>
      <w:pPr>
        <w:pStyle w:val="ListParagraph"/>
        <w:numPr>
          <w:ilvl w:val="0"/>
          <w:numId w:val="2"/>
        </w:numPr>
        <w:spacing w:after="80"/>
      </w:pPr>
      <w:r>
        <w:rPr>
          <w:b/>
          <w:bCs/>
        </w:rPr>
        <w:t xml:space="preserve">Language: </w:t>
      </w:r>
      <w:r>
        <w:t xml:space="preserve">tap Kinyarwanda in the top bar. Point out that every chart, number and label changes.</w:t>
      </w:r>
    </w:p>
    <w:p>
      <w:pPr>
        <w:pStyle w:val="ListParagraph"/>
        <w:numPr>
          <w:ilvl w:val="0"/>
          <w:numId w:val="2"/>
        </w:numPr>
        <w:spacing w:after="80"/>
      </w:pPr>
      <w:r>
        <w:rPr>
          <w:b/>
          <w:bCs/>
        </w:rPr>
        <w:t xml:space="preserve">Input gap: </w:t>
      </w:r>
      <w:r>
        <w:t xml:space="preserve">switch Season A to Season B. Say: the seed gap widens from 49.5 to 55.4 points.</w:t>
      </w:r>
    </w:p>
    <w:p>
      <w:pPr>
        <w:pStyle w:val="ListParagraph"/>
        <w:numPr>
          <w:ilvl w:val="0"/>
          <w:numId w:val="2"/>
        </w:numPr>
        <w:spacing w:after="80"/>
      </w:pPr>
      <w:r>
        <w:rPr>
          <w:b/>
          <w:bCs/>
        </w:rPr>
        <w:t xml:space="preserve">Calculator: </w:t>
      </w:r>
      <w:r>
        <w:t xml:space="preserve">choose Maize, set 0.5 ha. Read the two harvests and the difference in 100 kg bags.</w:t>
      </w:r>
    </w:p>
    <w:p>
      <w:pPr>
        <w:pStyle w:val="ListParagraph"/>
        <w:numPr>
          <w:ilvl w:val="0"/>
          <w:numId w:val="2"/>
        </w:numPr>
        <w:spacing w:after="80"/>
      </w:pPr>
      <w:r>
        <w:rPr>
          <w:b/>
          <w:bCs/>
        </w:rPr>
        <w:t xml:space="preserve">District map: </w:t>
      </w:r>
      <w:r>
        <w:t xml:space="preserve">tap Nyagatare under Maize, then switch to Irish potato and tap Nyabihu.</w:t>
      </w:r>
    </w:p>
    <w:p>
      <w:pPr>
        <w:pStyle w:val="ListParagraph"/>
        <w:numPr>
          <w:ilvl w:val="0"/>
          <w:numId w:val="2"/>
        </w:numPr>
        <w:spacing w:after="80"/>
      </w:pPr>
      <w:r>
        <w:rPr>
          <w:b/>
          <w:bCs/>
        </w:rPr>
        <w:t xml:space="preserve">AI assistant: </w:t>
      </w:r>
      <w:r>
        <w:t xml:space="preserve">ask in Kinyarwanda: Ni utuhe turere twejeje ibigori byinshi? Then ask something outside the data, for example the maize harvest in 2019, and show that it declines.</w:t>
      </w:r>
    </w:p>
    <w:p>
      <w:pPr>
        <w:pStyle w:val="Heading2"/>
      </w:pPr>
      <w:r>
        <w:t xml:space="preserve">If something goes wrong</w:t>
      </w:r>
    </w:p>
    <w:p>
      <w:pPr>
        <w:pStyle w:val="ListParagraph"/>
        <w:numPr>
          <w:ilvl w:val="0"/>
          <w:numId w:val="3"/>
        </w:numPr>
        <w:spacing w:after="60"/>
      </w:pPr>
      <w:r>
        <w:t xml:space="preserve">No internet: open the downloaded HTML file. Everything works except the AI assistant; say it needs a connection and move on.</w:t>
      </w:r>
    </w:p>
    <w:p>
      <w:pPr>
        <w:pStyle w:val="ListParagraph"/>
        <w:numPr>
          <w:ilvl w:val="0"/>
          <w:numId w:val="3"/>
        </w:numPr>
        <w:spacing w:after="60"/>
      </w:pPr>
      <w:r>
        <w:t xml:space="preserve">The AI is slow: keep talking about what it is designed to do while it thinks. If nothing after 30 seconds, press Stop and continue.</w:t>
      </w:r>
    </w:p>
    <w:p>
      <w:pPr>
        <w:pStyle w:val="ListParagraph"/>
        <w:numPr>
          <w:ilvl w:val="0"/>
          <w:numId w:val="3"/>
        </w:numPr>
        <w:spacing w:after="60"/>
      </w:pPr>
      <w:r>
        <w:t xml:space="preserve">The AI gives a wrong number: say so openly, show the correct figure on the page, and explain that this is why every answer carries a note to check the official report.</w:t>
      </w:r>
    </w:p>
    <w:p>
      <w:pPr>
        <w:pStyle w:val="ListParagraph"/>
        <w:numPr>
          <w:ilvl w:val="0"/>
          <w:numId w:val="3"/>
        </w:numPr>
        <w:spacing w:after="60"/>
      </w:pPr>
      <w:r>
        <w:t xml:space="preserve">Projector problems: the poster PDF and the slides are your backup. Have both on a USB stick and on a phone.</w:t>
      </w:r>
    </w:p>
    <w:p>
      <w:pPr>
        <w:pStyle w:val="Heading2"/>
      </w:pPr>
      <w:r>
        <w:t xml:space="preserve">Set up before you start</w:t>
      </w:r>
    </w:p>
    <w:p>
      <w:pPr>
        <w:pStyle w:val="ListParagraph"/>
        <w:numPr>
          <w:ilvl w:val="0"/>
          <w:numId w:val="4"/>
        </w:numPr>
        <w:spacing w:after="60"/>
      </w:pPr>
      <w:r>
        <w:t xml:space="preserve">Sign in to Claude on the demo laptop and ask one test question, so the permission prompt is already accepted.</w:t>
      </w:r>
    </w:p>
    <w:p>
      <w:pPr>
        <w:pStyle w:val="ListParagraph"/>
        <w:numPr>
          <w:ilvl w:val="0"/>
          <w:numId w:val="4"/>
        </w:numPr>
        <w:spacing w:after="60"/>
      </w:pPr>
      <w:r>
        <w:t xml:space="preserve">Open the dynamic page and the slides in separate windows. Set the page to English, scrolled to the top.</w:t>
      </w:r>
    </w:p>
    <w:p>
      <w:pPr>
        <w:pStyle w:val="ListParagraph"/>
        <w:numPr>
          <w:ilvl w:val="0"/>
          <w:numId w:val="4"/>
        </w:numPr>
        <w:spacing w:after="60"/>
      </w:pPr>
      <w:r>
        <w:t xml:space="preserve">Turn off notifications and set screen sleep to never.</w:t>
      </w:r>
    </w:p>
    <w:p>
      <w:pPr>
        <w:pStyle w:val="ListParagraph"/>
        <w:numPr>
          <w:ilvl w:val="0"/>
          <w:numId w:val="4"/>
        </w:numPr>
        <w:spacing w:after="60"/>
      </w:pPr>
      <w:r>
        <w:t xml:space="preserve">Zoom the browser to 125 percent so the back of the room can read it.</w:t>
      </w:r>
    </w:p>
    <w:p>
      <w:r>
        <w:br w:type="page"/>
      </w:r>
    </w:p>
    <w:p>
      <w:pPr>
        <w:pStyle w:val="Heading1"/>
      </w:pPr>
      <w:r>
        <w:t xml:space="preserve">5. Likely questions from the judges</w:t>
      </w:r>
    </w:p>
    <w:p>
      <w:pPr>
        <w:spacing w:after="120"/>
      </w:pPr>
      <w:r>
        <w:t xml:space="preserve">Answer in two or three sentences, then stop. If you do not know, say so and say where you would find out. Judges trust honesty about the data's limits.</w:t>
      </w:r>
    </w:p>
    <w:p>
      <w:pPr>
        <w:spacing w:after="60" w:before="160"/>
      </w:pPr>
      <w:r>
        <w:rPr>
          <w:b/>
          <w:bCs/>
          <w:color w:val="14302A"/>
        </w:rPr>
        <w:t xml:space="preserve">Q1. Why did you choose the Seasonal Agricultural Survey?</w:t>
      </w:r>
    </w:p>
    <w:p>
      <w:pPr>
        <w:spacing w:after="120"/>
      </w:pPr>
      <w:r>
        <w:t xml:space="preserve">Agriculture covers about 60 percent of Rwanda's land and most farmers are smallholders, so the gap between farm types touches the most people. The survey also reports by farmer type, which let us tell a comparison story.</w:t>
      </w:r>
    </w:p>
    <w:p>
      <w:pPr>
        <w:spacing w:after="60" w:before="160"/>
      </w:pPr>
      <w:r>
        <w:rPr>
          <w:b/>
          <w:bCs/>
          <w:color w:val="14302A"/>
        </w:rPr>
        <w:t xml:space="preserve">Q2. Do improved inputs cause the higher yields?</w:t>
      </w:r>
    </w:p>
    <w:p>
      <w:pPr>
        <w:spacing w:after="120"/>
      </w:pPr>
      <w:r>
        <w:t xml:space="preserve">The report shows a difference, not a cause. Large farms also differ in land quality, irrigation, mechanisation and crop choice. We are careful to say the biggest gap in the data is in input use, not that inputs alone explain yields.</w:t>
      </w:r>
    </w:p>
    <w:p>
      <w:pPr>
        <w:spacing w:after="60" w:before="160"/>
      </w:pPr>
      <w:r>
        <w:rPr>
          <w:b/>
          <w:bCs/>
          <w:color w:val="14302A"/>
        </w:rPr>
        <w:t xml:space="preserve">Q3. Where does each number come from?</w:t>
      </w:r>
    </w:p>
    <w:p>
      <w:pPr>
        <w:spacing w:after="120"/>
      </w:pPr>
      <w:r>
        <w:t xml:space="preserve">From the NISR SAS Annual Report 2025 and its Season A and B reports. Every chart is labelled with its season, and our verification table lists the report section for each figure.</w:t>
      </w:r>
    </w:p>
    <w:p>
      <w:pPr>
        <w:spacing w:after="60" w:before="160"/>
      </w:pPr>
      <w:r>
        <w:rPr>
          <w:b/>
          <w:bCs/>
          <w:color w:val="14302A"/>
        </w:rPr>
        <w:t xml:space="preserve">Q4. Why do the seasonal crop, permanent crop and pasture areas add up to more than the agricultural land?</w:t>
      </w:r>
    </w:p>
    <w:p>
      <w:pPr>
        <w:spacing w:after="120"/>
      </w:pPr>
      <w:r>
        <w:t xml:space="preserve">Seasonal crop area counts cultivated area, which can include intercropping and land used in more than one way, so the categories are not meant to be stacked. That is why we show the 60 percent figure on its own.</w:t>
      </w:r>
    </w:p>
    <w:p>
      <w:pPr>
        <w:spacing w:after="60" w:before="160"/>
      </w:pPr>
      <w:r>
        <w:rPr>
          <w:b/>
          <w:bCs/>
          <w:color w:val="14302A"/>
        </w:rPr>
        <w:t xml:space="preserve">Q5. Why is pesticide use so high in Season C?</w:t>
      </w:r>
    </w:p>
    <w:p>
      <w:pPr>
        <w:spacing w:after="120"/>
      </w:pPr>
      <w:r>
        <w:t xml:space="preserve">The report shows 67 percent of farmers using pesticides in Season C. That season is short and mostly Irish potatoes and vegetables in swamps and the volcanic zone. We do not claim a cause beyond what the report states.</w:t>
      </w:r>
    </w:p>
    <w:p>
      <w:pPr>
        <w:spacing w:after="60" w:before="160"/>
      </w:pPr>
      <w:r>
        <w:rPr>
          <w:b/>
          <w:bCs/>
          <w:color w:val="14302A"/>
        </w:rPr>
        <w:t xml:space="preserve">Q6. How does the AI assistant avoid wrong answers?</w:t>
      </w:r>
    </w:p>
    <w:p>
      <w:pPr>
        <w:spacing w:after="120"/>
      </w:pPr>
      <w:r>
        <w:t xml:space="preserve">It receives only the figures from the report that appear on our page, with instructions to refuse anything outside them and to name the season. Every answer carries a note to check the official report. We tested it with questions it should decline.</w:t>
      </w:r>
    </w:p>
    <w:p>
      <w:pPr>
        <w:spacing w:after="60" w:before="160"/>
      </w:pPr>
      <w:r>
        <w:rPr>
          <w:b/>
          <w:bCs/>
          <w:color w:val="14302A"/>
        </w:rPr>
        <w:t xml:space="preserve">Q7. Is the AI work your own?</w:t>
      </w:r>
    </w:p>
    <w:p>
      <w:pPr>
        <w:spacing w:after="120"/>
      </w:pPr>
      <w:r>
        <w:t xml:space="preserve">We designed the story, chose the data and built the experience. The assistant uses a language model, which we declared in our submission. It is a tool for accessibility, not the source of any figure.</w:t>
      </w:r>
    </w:p>
    <w:p>
      <w:pPr>
        <w:spacing w:after="60" w:before="160"/>
      </w:pPr>
      <w:r>
        <w:rPr>
          <w:b/>
          <w:bCs/>
          <w:color w:val="14302A"/>
        </w:rPr>
        <w:t xml:space="preserve">Q8. How did you make the Kinyarwanda version reliable?</w:t>
      </w:r>
    </w:p>
    <w:p>
      <w:pPr>
        <w:spacing w:after="120"/>
      </w:pPr>
      <w:r>
        <w:t xml:space="preserve">The translations were reviewed by a native speaker, and we used the agricultural terms common in NISR and MINAGRI publications, such as inyongeramusaruro and ifumbire mvaruganda.</w:t>
      </w:r>
    </w:p>
    <w:p>
      <w:pPr>
        <w:spacing w:after="60" w:before="160"/>
      </w:pPr>
      <w:r>
        <w:rPr>
          <w:b/>
          <w:bCs/>
          <w:color w:val="14302A"/>
        </w:rPr>
        <w:t xml:space="preserve">Q9. What does the farm calculator actually compute?</w:t>
      </w:r>
    </w:p>
    <w:p>
      <w:pPr>
        <w:spacing w:after="120"/>
      </w:pPr>
      <w:r>
        <w:t xml:space="preserve">It multiplies the 2025 average yield for each farmer type by the farm size the user picks. It is an illustration of the averages, not a forecast for a particular farm, and the page says so.</w:t>
      </w:r>
    </w:p>
    <w:p>
      <w:pPr>
        <w:spacing w:after="60" w:before="160"/>
      </w:pPr>
      <w:r>
        <w:rPr>
          <w:b/>
          <w:bCs/>
          <w:color w:val="14302A"/>
        </w:rPr>
        <w:t xml:space="preserve">Q10. Who would use this?</w:t>
      </w:r>
    </w:p>
    <w:p>
      <w:pPr>
        <w:spacing w:after="120"/>
      </w:pPr>
      <w:r>
        <w:t xml:space="preserve">Farmers' cooperatives and extension workers, students, journalists and district planners. The three languages, narration and calculator are aimed at people who would never open a statistical report.</w:t>
      </w:r>
    </w:p>
    <w:p>
      <w:pPr>
        <w:spacing w:after="60" w:before="160"/>
      </w:pPr>
      <w:r>
        <w:rPr>
          <w:b/>
          <w:bCs/>
          <w:color w:val="14302A"/>
        </w:rPr>
        <w:t xml:space="preserve">Q11. What would you add with more time?</w:t>
      </w:r>
    </w:p>
    <w:p>
      <w:pPr>
        <w:spacing w:after="120"/>
      </w:pPr>
      <w:r>
        <w:t xml:space="preserve">District-level production from the microdata as a full shaded map, and a simple model estimating how yields relate to input use, clearly labelled as an estimate.</w:t>
      </w:r>
    </w:p>
    <w:p>
      <w:pPr>
        <w:spacing w:after="60" w:before="160"/>
      </w:pPr>
      <w:r>
        <w:rPr>
          <w:b/>
          <w:bCs/>
          <w:color w:val="14302A"/>
        </w:rPr>
        <w:t xml:space="preserve">Q12. What policy message do you draw?</w:t>
      </w:r>
    </w:p>
    <w:p>
      <w:pPr>
        <w:spacing w:after="120"/>
      </w:pPr>
      <w:r>
        <w:t xml:space="preserve">That access to improved seed and fertilizer for smallholders is where the largest measured gap lies. Programmes on input access and extension are where the data points, while recognising the report does not measure every factor.</w:t>
      </w:r>
    </w:p>
    <w:p>
      <w:r>
        <w:br w:type="page"/>
      </w:r>
    </w:p>
    <w:p>
      <w:pPr>
        <w:pStyle w:val="Heading1"/>
      </w:pPr>
      <w:r>
        <w:t xml:space="preserve">6. Figure verification table</w:t>
      </w:r>
    </w:p>
    <w:p>
      <w:pPr>
        <w:spacing w:after="120"/>
      </w:pPr>
      <w:r>
        <w:t xml:space="preserve">Accuracy of data is the first judging criterion. Check every figure against the official NISR reports before submission. Rows marked VERIFY were taken from news coverage of the report and must be confirmed first. Tick the last column when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2526"/>
        <w:gridCol w:w="700"/>
      </w:tblGrid>
      <w:tr>
        <w:trPr>
          <w:tblHeader/>
        </w:trPr>
        <w:tc>
          <w:tcPr>
            <w:tcW w:type="dxa" w:w="33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Figure</w:t>
            </w:r>
          </w:p>
        </w:tc>
        <w:tc>
          <w:tcPr>
            <w:tcW w:type="dxa" w:w="25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Value</w:t>
            </w:r>
          </w:p>
        </w:tc>
        <w:tc>
          <w:tcPr>
            <w:tcW w:type="dxa" w:w="2526"/>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Source</w:t>
            </w:r>
          </w:p>
        </w:tc>
        <w:tc>
          <w:tcPr>
            <w:tcW w:type="dxa" w:w="7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OK</w:t>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Agricultural land, Season B</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1.423 million of 2.376 million ha (60%)</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Annual Report summary</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Improved seeds, Season A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35.9% / 85.4%</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A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Pesticides, Season A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40.6% / 86.9%</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A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Inorganic fertilizer, Season A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62.4% / 91.9%</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A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Organic fertilizer, Season A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88.3% / 77.5%</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A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Improved seeds, Season B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16.7% / 72.1%</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B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Organic fertilizer, Season B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81.2% / 63.8%</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B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Improved seeds, all farmers A / B / C</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37.3% / 18% / 18.9%</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Annual Report summary</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Pesticides, all farmers A / B / C</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41.9% / 36.6% / 67%</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Annual Report summary</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Maize yield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1.2 / 4.2 t/ha</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color w:val="A2401F"/>
              </w:rPr>
              <w:t xml:space="preserve">VERIFY: from news coverage; confirm season in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Irish potato yield, Season B (small / large)</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6.8 / 14.2 t/ha</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color w:val="A2401F"/>
              </w:rPr>
              <w:t xml:space="preserve">VERIFY: from news coverage</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Maize production, Season A</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481,246 t (−5.3%)</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color w:val="A2401F"/>
              </w:rPr>
              <w:t xml:space="preserve">VERIFY: from news coverage</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Irish potato production A / B / C</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475,785 / 314,093 / 94,892 t</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color w:val="A2401F"/>
              </w:rPr>
              <w:t xml:space="preserve">VERIFY A and C: from news coverage</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Cassava production, Season B</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852,541 t (+8.8%)</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B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Sweet potato production, Season B</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652,515 t (−2.1%)</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Season B report</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r>
        <w:tc>
          <w:tcPr>
            <w:tcW w:type="dxa" w:w="33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Top maize districts</w:t>
            </w:r>
          </w:p>
        </w:tc>
        <w:tc>
          <w:tcPr>
            <w:tcW w:type="dxa" w:w="25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Nyagatare, Gatsibo, Kirehe, Kayonza</w:t>
            </w:r>
          </w:p>
        </w:tc>
        <w:tc>
          <w:tcPr>
            <w:tcW w:type="dxa" w:w="25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color w:val="A2401F"/>
              </w:rPr>
              <w:t xml:space="preserve">VERIFY: from news coverage</w:t>
            </w:r>
          </w:p>
        </w:tc>
        <w:tc>
          <w:tcPr>
            <w:tcW w:type="dxa" w:w="7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
            </w:r>
          </w:p>
        </w:tc>
      </w:tr>
    </w:tbl>
    <w:p>
      <w:r>
        <w:br w:type="page"/>
      </w:r>
    </w:p>
    <w:p>
      <w:pPr>
        <w:pStyle w:val="Heading1"/>
      </w:pPr>
      <w:r>
        <w:t xml:space="preserve">7. How we meet each judging criterion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Criterion</w:t>
            </w:r>
          </w:p>
        </w:tc>
        <w:tc>
          <w:tcPr>
            <w:tcW w:type="dxa" w:w="6426"/>
            <w:tcBorders>
              <w:top w:val="single" w:color="C9D3CA" w:sz="4"/>
              <w:left w:val="single" w:color="C9D3CA" w:sz="4"/>
              <w:bottom w:val="single" w:color="C9D3CA" w:sz="4"/>
              <w:right w:val="single" w:color="C9D3CA" w:sz="4"/>
            </w:tcBorders>
            <w:shd w:fill="1F5A43" w:color="auto" w:val="clear"/>
            <w:tcMar>
              <w:top w:type="dxa" w:w="80"/>
              <w:left w:type="dxa" w:w="120"/>
              <w:bottom w:type="dxa" w:w="80"/>
              <w:right w:type="dxa" w:w="120"/>
            </w:tcMar>
          </w:tcPr>
          <w:p>
            <w:r>
              <w:rPr>
                <w:b/>
                <w:bCs/>
                <w:color w:val="FFFFFF"/>
              </w:rPr>
              <w:t xml:space="preserve">Where we show it</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Accuracy of data</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Every figure from the NISR SAS 2025 reports, labelled by season, checked in the verification table</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Clarity of message</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One sentence carried from the title to the closing slide</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Quality of visualization</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Dot charts for the input gap, tonne-squares for yields, a district map and a season wheel</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Creativity and innovation</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Three languages, farm calculator, narration and an AI assistant limited to report data</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Visual design</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One palette from Rwanda's landscape: hillside green, maize gold, red earth</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Simplicity and accessibility</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Kinyarwanda first, plain words, read-aloud narration, harvests shown in 100 kg bags</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Data storytelling</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Question, four findings, one twist (organic fertilizer), one message</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Relevance and usefulness</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Points to input access for smallholders, the group that farms most of Rwanda's land</w:t>
            </w:r>
          </w:p>
        </w:tc>
      </w:tr>
      <w:tr>
        <w:tc>
          <w:tcPr>
            <w:tcW w:type="dxa" w:w="2600"/>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Originality and compliance</w:t>
            </w:r>
          </w:p>
        </w:tc>
        <w:tc>
          <w:tcPr>
            <w:tcW w:type="dxa" w:w="6426"/>
            <w:tcBorders>
              <w:top w:val="single" w:color="C9D3CA" w:sz="4"/>
              <w:left w:val="single" w:color="C9D3CA" w:sz="4"/>
              <w:bottom w:val="single" w:color="C9D3CA" w:sz="4"/>
              <w:right w:val="single" w:color="C9D3CA" w:sz="4"/>
            </w:tcBorders>
            <w:tcMar>
              <w:top w:type="dxa" w:w="80"/>
              <w:left w:type="dxa" w:w="120"/>
              <w:bottom w:type="dxa" w:w="80"/>
              <w:right w:type="dxa" w:w="120"/>
            </w:tcMar>
          </w:tcPr>
          <w:p>
            <w:r>
              <w:rPr>
                <w:b w:val="false"/>
                <w:bCs w:val="false"/>
              </w:rPr>
              <w:t xml:space="preserve">Full source attribution, AI use declared, own story and design</w:t>
            </w:r>
          </w:p>
        </w:tc>
      </w:tr>
    </w:tbl>
    <w:p>
      <w:r>
        <w:br w:type="page"/>
      </w:r>
    </w:p>
    <w:p>
      <w:pPr>
        <w:pStyle w:val="Heading1"/>
      </w:pPr>
      <w:r>
        <w:t xml:space="preserve">8. Before-the-day checklist</w:t>
      </w:r>
    </w:p>
    <w:p>
      <w:pPr>
        <w:pStyle w:val="Heading2"/>
      </w:pPr>
      <w:r>
        <w:t xml:space="preserve">Before submission (31 October)</w:t>
      </w:r>
    </w:p>
    <w:p>
      <w:pPr>
        <w:pStyle w:val="ListParagraph"/>
        <w:numPr>
          <w:ilvl w:val="0"/>
          <w:numId w:val="4"/>
        </w:numPr>
        <w:spacing w:after="60"/>
      </w:pPr>
      <w:r>
        <w:t xml:space="preserve">Confirm every VERIFY figure in section 6 against the official report</w:t>
      </w:r>
    </w:p>
    <w:p>
      <w:pPr>
        <w:pStyle w:val="ListParagraph"/>
        <w:numPr>
          <w:ilvl w:val="0"/>
          <w:numId w:val="4"/>
        </w:numPr>
        <w:spacing w:after="60"/>
      </w:pPr>
      <w:r>
        <w:t xml:space="preserve">Native-speaker review of all Kinyarwanda text on the poster and the page</w:t>
      </w:r>
    </w:p>
    <w:p>
      <w:pPr>
        <w:pStyle w:val="ListParagraph"/>
        <w:numPr>
          <w:ilvl w:val="0"/>
          <w:numId w:val="4"/>
        </w:numPr>
        <w:spacing w:after="60"/>
      </w:pPr>
      <w:r>
        <w:t xml:space="preserve">Record the Kinyarwanda narration and add it to the page</w:t>
      </w:r>
    </w:p>
    <w:p>
      <w:pPr>
        <w:pStyle w:val="ListParagraph"/>
        <w:numPr>
          <w:ilvl w:val="0"/>
          <w:numId w:val="4"/>
        </w:numPr>
        <w:spacing w:after="60"/>
      </w:pPr>
      <w:r>
        <w:t xml:space="preserve">Add district tonnes from the report tables to the map, and the fourth top district for each crop</w:t>
      </w:r>
    </w:p>
    <w:p>
      <w:pPr>
        <w:pStyle w:val="ListParagraph"/>
        <w:numPr>
          <w:ilvl w:val="0"/>
          <w:numId w:val="4"/>
        </w:numPr>
        <w:spacing w:after="60"/>
      </w:pPr>
      <w:r>
        <w:t xml:space="preserve">Host the dynamic page publicly and make sure the QR code opens it</w:t>
      </w:r>
    </w:p>
    <w:p>
      <w:pPr>
        <w:pStyle w:val="ListParagraph"/>
        <w:numPr>
          <w:ilvl w:val="0"/>
          <w:numId w:val="4"/>
        </w:numPr>
        <w:spacing w:after="60"/>
      </w:pPr>
      <w:r>
        <w:t xml:space="preserve">Check with NISR whether AI-assisted work is allowed, and declare the AI assistant in the submission</w:t>
      </w:r>
    </w:p>
    <w:p>
      <w:pPr>
        <w:pStyle w:val="ListParagraph"/>
        <w:numPr>
          <w:ilvl w:val="0"/>
          <w:numId w:val="4"/>
        </w:numPr>
        <w:spacing w:after="60"/>
      </w:pPr>
      <w:r>
        <w:t xml:space="preserve">Check which file formats the submission form accepts for the static and dynamic infographics</w:t>
      </w:r>
    </w:p>
    <w:p>
      <w:pPr>
        <w:pStyle w:val="Heading2"/>
      </w:pPr>
      <w:r>
        <w:t xml:space="preserve">Before the presentation</w:t>
      </w:r>
    </w:p>
    <w:p>
      <w:pPr>
        <w:pStyle w:val="ListParagraph"/>
        <w:numPr>
          <w:ilvl w:val="0"/>
          <w:numId w:val="4"/>
        </w:numPr>
        <w:spacing w:after="60"/>
      </w:pPr>
      <w:r>
        <w:t xml:space="preserve">Two full rehearsals with a timer, one of them in front of a friend who asks hard questions</w:t>
      </w:r>
    </w:p>
    <w:p>
      <w:pPr>
        <w:pStyle w:val="ListParagraph"/>
        <w:numPr>
          <w:ilvl w:val="0"/>
          <w:numId w:val="4"/>
        </w:numPr>
        <w:spacing w:after="60"/>
      </w:pPr>
      <w:r>
        <w:t xml:space="preserve">Each presenter can answer every question in section 5 without notes</w:t>
      </w:r>
    </w:p>
    <w:p>
      <w:pPr>
        <w:pStyle w:val="ListParagraph"/>
        <w:numPr>
          <w:ilvl w:val="0"/>
          <w:numId w:val="4"/>
        </w:numPr>
        <w:spacing w:after="60"/>
      </w:pPr>
      <w:r>
        <w:t xml:space="preserve">Slides, poster PDF and HTML file on a USB stick and on both phones</w:t>
      </w:r>
    </w:p>
    <w:p>
      <w:pPr>
        <w:pStyle w:val="ListParagraph"/>
        <w:numPr>
          <w:ilvl w:val="0"/>
          <w:numId w:val="4"/>
        </w:numPr>
        <w:spacing w:after="60"/>
      </w:pPr>
      <w:r>
        <w:t xml:space="preserve">Student cards in your bags; the organisers may ask for proof of enrolment</w:t>
      </w:r>
    </w:p>
    <w:p>
      <w:pPr>
        <w:pStyle w:val="Heading2"/>
      </w:pPr>
      <w:r>
        <w:t xml:space="preserve">Delivery tips</w:t>
      </w:r>
    </w:p>
    <w:p>
      <w:pPr>
        <w:pStyle w:val="ListParagraph"/>
        <w:numPr>
          <w:ilvl w:val="0"/>
          <w:numId w:val="3"/>
        </w:numPr>
        <w:spacing w:after="60"/>
      </w:pPr>
      <w:r>
        <w:t xml:space="preserve">Start with the people, not the numbers: two farmers on the same hill.</w:t>
      </w:r>
    </w:p>
    <w:p>
      <w:pPr>
        <w:pStyle w:val="ListParagraph"/>
        <w:numPr>
          <w:ilvl w:val="0"/>
          <w:numId w:val="3"/>
        </w:numPr>
        <w:spacing w:after="60"/>
      </w:pPr>
      <w:r>
        <w:t xml:space="preserve">Say each key number once, slowly, and point to it on the slide.</w:t>
      </w:r>
    </w:p>
    <w:p>
      <w:pPr>
        <w:pStyle w:val="ListParagraph"/>
        <w:numPr>
          <w:ilvl w:val="0"/>
          <w:numId w:val="3"/>
        </w:numPr>
        <w:spacing w:after="60"/>
      </w:pPr>
      <w:r>
        <w:t xml:space="preserve">Hand over between presenters by name: "[Name] will now show you what the data says."</w:t>
      </w:r>
    </w:p>
    <w:p>
      <w:pPr>
        <w:pStyle w:val="ListParagraph"/>
        <w:numPr>
          <w:ilvl w:val="0"/>
          <w:numId w:val="3"/>
        </w:numPr>
        <w:spacing w:after="60"/>
      </w:pPr>
      <w:r>
        <w:t xml:space="preserve">Say "the data shows a difference" rather than "inputs cause higher yields".</w:t>
      </w:r>
    </w:p>
    <w:p>
      <w:pPr>
        <w:pStyle w:val="ListParagraph"/>
        <w:numPr>
          <w:ilvl w:val="0"/>
          <w:numId w:val="3"/>
        </w:numPr>
        <w:spacing w:after="60"/>
      </w:pPr>
      <w:r>
        <w:t xml:space="preserve">End on the message, then stop talking and wait for questions.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6665E"/>
        <w:sz w:val="18"/>
        <w:szCs w:val="18"/>
      </w:rPr>
      <w:t xml:space="preserve">Team Devotha-Kevine   </w:t>
    </w:r>
    <w:r>
      <w:rPr>
        <w:color w:val="5666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4302A"/>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F5A4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farms, one harvest: presentation preparation guide</dc:title>
  <dc:creator>Team Devotha-Kevine</dc:creator>
  <cp:lastModifiedBy>Un-named</cp:lastModifiedBy>
  <cp:revision>1</cp:revision>
  <dcterms:created xsi:type="dcterms:W3CDTF">2026-10-03T14:07:05.785Z</dcterms:created>
  <dcterms:modified xsi:type="dcterms:W3CDTF">2026-10-03T14:07:05.785Z</dcterms:modified>
</cp:coreProperties>
</file>

<file path=docProps/custom.xml><?xml version="1.0" encoding="utf-8"?>
<Properties xmlns="http://schemas.openxmlformats.org/officeDocument/2006/custom-properties" xmlns:vt="http://schemas.openxmlformats.org/officeDocument/2006/docPropsVTypes"/>
</file>