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hint="eastAsia" w:eastAsia="方正黑体_GBK"/>
          <w:sz w:val="32"/>
          <w:szCs w:val="32"/>
        </w:rPr>
      </w:pPr>
      <w:bookmarkStart w:id="1" w:name="_GoBack"/>
      <w:bookmarkEnd w:id="1"/>
    </w:p>
    <w:p>
      <w:pPr>
        <w:adjustRightInd w:val="0"/>
        <w:snapToGrid w:val="0"/>
        <w:spacing w:line="600" w:lineRule="exact"/>
        <w:rPr>
          <w:rFonts w:hint="eastAsia" w:eastAsia="方正仿宋_GBK"/>
          <w:sz w:val="32"/>
          <w:szCs w:val="32"/>
        </w:rPr>
      </w:pPr>
      <w:r>
        <w:rPr>
          <w:rFonts w:eastAsia="方正黑体_GBK"/>
          <w:sz w:val="32"/>
          <w:szCs w:val="32"/>
        </w:rPr>
        <w:t>附件1</w:t>
      </w:r>
    </w:p>
    <w:p>
      <w:pPr>
        <w:pStyle w:val="3"/>
        <w:rPr>
          <w:rFonts w:hint="eastAsia"/>
        </w:rPr>
      </w:pPr>
    </w:p>
    <w:p>
      <w:pPr>
        <w:widowControl/>
        <w:jc w:val="left"/>
        <w:rPr>
          <w:rFonts w:hint="eastAsia" w:eastAsia="方正黑体_GBK"/>
          <w:sz w:val="32"/>
          <w:szCs w:val="32"/>
        </w:rPr>
      </w:pPr>
    </w:p>
    <w:p>
      <w:pPr>
        <w:tabs>
          <w:tab w:val="left" w:pos="5220"/>
        </w:tabs>
        <w:spacing w:line="580" w:lineRule="exact"/>
        <w:jc w:val="center"/>
        <w:rPr>
          <w:rFonts w:hint="eastAsia" w:eastAsia="方正小标宋简体"/>
          <w:sz w:val="52"/>
          <w:szCs w:val="52"/>
        </w:rPr>
      </w:pPr>
    </w:p>
    <w:p>
      <w:pPr>
        <w:tabs>
          <w:tab w:val="left" w:pos="5220"/>
        </w:tabs>
        <w:spacing w:line="580" w:lineRule="exact"/>
        <w:jc w:val="center"/>
        <w:rPr>
          <w:rFonts w:hint="eastAsia" w:eastAsia="方正小标宋简体"/>
          <w:sz w:val="52"/>
          <w:szCs w:val="52"/>
        </w:rPr>
      </w:pPr>
    </w:p>
    <w:p>
      <w:pPr>
        <w:tabs>
          <w:tab w:val="left" w:pos="5220"/>
        </w:tabs>
        <w:spacing w:line="580" w:lineRule="exact"/>
        <w:jc w:val="center"/>
        <w:rPr>
          <w:rFonts w:hint="eastAsia" w:eastAsia="方正小标宋简体"/>
          <w:sz w:val="52"/>
          <w:szCs w:val="52"/>
        </w:rPr>
      </w:pPr>
    </w:p>
    <w:p>
      <w:pPr>
        <w:tabs>
          <w:tab w:val="left" w:pos="5220"/>
        </w:tabs>
        <w:spacing w:line="580" w:lineRule="exact"/>
        <w:jc w:val="center"/>
        <w:rPr>
          <w:rFonts w:hint="eastAsia" w:ascii="方正小标宋简体" w:eastAsia="方正小标宋简体"/>
          <w:sz w:val="52"/>
          <w:szCs w:val="52"/>
        </w:rPr>
      </w:pPr>
      <w:r>
        <w:rPr>
          <w:rFonts w:hint="eastAsia" w:ascii="方正小标宋简体" w:eastAsia="方正小标宋简体"/>
          <w:sz w:val="52"/>
          <w:szCs w:val="52"/>
        </w:rPr>
        <w:t>灯塔工厂入库培育企业申报书</w:t>
      </w:r>
    </w:p>
    <w:p>
      <w:pPr>
        <w:tabs>
          <w:tab w:val="left" w:pos="5220"/>
        </w:tabs>
        <w:spacing w:line="580" w:lineRule="exact"/>
        <w:ind w:firstLine="1280" w:firstLineChars="400"/>
        <w:rPr>
          <w:rFonts w:hint="eastAsia" w:eastAsia="仿宋_GB2312"/>
          <w:sz w:val="32"/>
          <w:szCs w:val="32"/>
        </w:rPr>
      </w:pPr>
    </w:p>
    <w:p>
      <w:pPr>
        <w:tabs>
          <w:tab w:val="left" w:pos="5220"/>
        </w:tabs>
        <w:spacing w:line="580" w:lineRule="exact"/>
        <w:ind w:firstLine="1280" w:firstLineChars="400"/>
        <w:rPr>
          <w:rFonts w:hint="eastAsia" w:eastAsia="仿宋_GB2312"/>
          <w:sz w:val="32"/>
          <w:szCs w:val="32"/>
        </w:rPr>
      </w:pPr>
    </w:p>
    <w:p>
      <w:pPr>
        <w:tabs>
          <w:tab w:val="left" w:pos="5220"/>
        </w:tabs>
        <w:spacing w:line="580" w:lineRule="exact"/>
        <w:rPr>
          <w:rFonts w:hint="eastAsia" w:eastAsia="仿宋_GB2312"/>
          <w:sz w:val="32"/>
          <w:szCs w:val="32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 w:ascii="仿宋_GB2312" w:eastAsia="仿宋_GB2312"/>
        </w:rPr>
      </w:pPr>
    </w:p>
    <w:p>
      <w:pPr>
        <w:pStyle w:val="3"/>
        <w:rPr>
          <w:rFonts w:hint="eastAsia" w:ascii="仿宋_GB2312" w:eastAsia="仿宋_GB2312"/>
        </w:rPr>
      </w:pPr>
    </w:p>
    <w:p>
      <w:pPr>
        <w:spacing w:line="580" w:lineRule="exact"/>
        <w:ind w:firstLine="640" w:firstLineChars="200"/>
        <w:jc w:val="left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申报单位（盖章）：</w:t>
      </w:r>
    </w:p>
    <w:p>
      <w:pPr>
        <w:spacing w:line="580" w:lineRule="exact"/>
        <w:ind w:firstLine="640" w:firstLineChars="200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项目负责人及职务：</w:t>
      </w:r>
    </w:p>
    <w:p>
      <w:pPr>
        <w:spacing w:line="580" w:lineRule="exact"/>
        <w:ind w:firstLine="640" w:firstLineChars="200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灯塔工厂名称：</w:t>
      </w:r>
    </w:p>
    <w:p>
      <w:pPr>
        <w:spacing w:line="580" w:lineRule="exact"/>
        <w:ind w:firstLine="640" w:firstLineChars="200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灯塔工厂地址：</w:t>
      </w:r>
    </w:p>
    <w:p>
      <w:pPr>
        <w:spacing w:line="580" w:lineRule="exact"/>
        <w:ind w:firstLine="640" w:firstLineChars="200"/>
        <w:rPr>
          <w:rFonts w:hint="eastAsia"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联系人及联系方式：</w:t>
      </w:r>
    </w:p>
    <w:p>
      <w:pPr>
        <w:tabs>
          <w:tab w:val="left" w:pos="5220"/>
        </w:tabs>
        <w:spacing w:line="580" w:lineRule="exact"/>
        <w:ind w:firstLine="640" w:firstLineChars="200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2"/>
        </w:rPr>
        <w:t>申报日期：</w:t>
      </w:r>
    </w:p>
    <w:p>
      <w:pPr>
        <w:adjustRightInd w:val="0"/>
        <w:snapToGrid w:val="0"/>
        <w:spacing w:line="600" w:lineRule="atLeast"/>
        <w:jc w:val="center"/>
        <w:rPr>
          <w:rFonts w:hint="eastAsia" w:ascii="方正小标宋简体" w:eastAsia="方正小标宋简体"/>
          <w:sz w:val="44"/>
          <w:szCs w:val="44"/>
        </w:rPr>
      </w:pPr>
      <w:r>
        <w:br w:type="page"/>
      </w:r>
      <w:r>
        <w:rPr>
          <w:rFonts w:hint="eastAsia" w:ascii="方正小标宋简体" w:eastAsia="方正小标宋简体"/>
          <w:sz w:val="44"/>
          <w:szCs w:val="44"/>
        </w:rPr>
        <w:t>灯塔工厂入库培育企业申报书提纲</w:t>
      </w:r>
    </w:p>
    <w:p>
      <w:pPr>
        <w:pStyle w:val="3"/>
        <w:adjustRightInd w:val="0"/>
        <w:snapToGrid w:val="0"/>
        <w:spacing w:after="0" w:line="600" w:lineRule="atLeast"/>
        <w:rPr>
          <w:rFonts w:hint="eastAsia"/>
        </w:rPr>
      </w:pP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一、企业介绍</w:t>
      </w:r>
    </w:p>
    <w:p>
      <w:pPr>
        <w:adjustRightInd w:val="0"/>
        <w:snapToGrid w:val="0"/>
        <w:spacing w:line="600" w:lineRule="atLeast"/>
        <w:ind w:firstLine="627" w:firstLineChars="19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二、灯塔工厂基本情况概述（包括工厂现状、已开展的工作、自评表对照情况的详细分析等）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三、新一代信息技术应用情况（分案例描述，重点描述先进性与规模化应用的效益，案例不少于5个）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四、灯塔工厂竞争力概述（与已获评灯塔工厂的同类企业比较，重点描述特点与创新点）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五、灯塔工厂创建计划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六、有关附件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1.企业董事会（总经理办公会）决议；</w:t>
      </w:r>
    </w:p>
    <w:p>
      <w:pPr>
        <w:adjustRightInd w:val="0"/>
        <w:snapToGrid w:val="0"/>
        <w:spacing w:line="600" w:lineRule="atLeast"/>
        <w:ind w:firstLine="640" w:firstLineChars="200"/>
        <w:rPr>
          <w:rFonts w:hint="eastAsia"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2.全球灯塔工厂自评表。</w:t>
      </w:r>
    </w:p>
    <w:p>
      <w:pPr>
        <w:pStyle w:val="3"/>
        <w:adjustRightInd w:val="0"/>
        <w:snapToGrid w:val="0"/>
        <w:spacing w:after="0" w:line="600" w:lineRule="atLeast"/>
        <w:jc w:val="center"/>
        <w:rPr>
          <w:rFonts w:hint="eastAsia" w:ascii="方正小标宋简体" w:eastAsia="方正小标宋简体"/>
          <w:lang w:bidi="ar"/>
        </w:rPr>
      </w:pPr>
      <w:r>
        <w:rPr>
          <w:lang w:bidi="ar"/>
        </w:rPr>
        <w:br w:type="page"/>
      </w:r>
      <w:bookmarkStart w:id="0" w:name="_Hlk74596770"/>
      <w:r>
        <w:rPr>
          <w:rFonts w:hint="eastAsia" w:ascii="方正小标宋简体" w:eastAsia="方正小标宋简体"/>
          <w:sz w:val="44"/>
          <w:szCs w:val="44"/>
        </w:rPr>
        <w:t>全球灯塔工厂自评表</w:t>
      </w:r>
      <w:bookmarkEnd w:id="0"/>
    </w:p>
    <w:p>
      <w:pPr>
        <w:pStyle w:val="3"/>
        <w:rPr>
          <w:rFonts w:hint="eastAsia"/>
          <w:lang w:bidi="ar"/>
        </w:rPr>
      </w:pPr>
    </w:p>
    <w:tbl>
      <w:tblPr>
        <w:tblStyle w:val="6"/>
        <w:tblW w:w="88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1"/>
        <w:gridCol w:w="992"/>
        <w:gridCol w:w="992"/>
        <w:gridCol w:w="992"/>
        <w:gridCol w:w="1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Merge w:val="restart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自评方向</w:t>
            </w:r>
          </w:p>
        </w:tc>
        <w:tc>
          <w:tcPr>
            <w:tcW w:w="4019" w:type="dxa"/>
            <w:gridSpan w:val="4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所处阶段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Merge w:val="continue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暂无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初始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发展</w:t>
            </w: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黑体_GBK"/>
                <w:kern w:val="2"/>
                <w:sz w:val="24"/>
                <w:lang w:bidi="ar"/>
              </w:rPr>
            </w:pPr>
            <w:r>
              <w:rPr>
                <w:rFonts w:eastAsia="方正黑体_GBK"/>
                <w:kern w:val="2"/>
                <w:sz w:val="24"/>
                <w:lang w:bidi="ar"/>
              </w:rPr>
              <w:t>先进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基于先进工业物联网的制造过程优化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基于人工智能的设备性能优化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人工智能驱动的制造过程控制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利用在线PLCs（产品全生命周期）上的大数据分析优化生产周期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数字化精益工具（例如eKanban（电子看板）、eAndon（安灯系统）、eSpaghetti（意大利面条图））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数字化制造模块配置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数字化赋能的可变生产节拍时间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光导装配序列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基于混合现实的数字标准工作/培训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关键制造部件的实时定位系统（RTLS）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偏差根本原因分析平台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通过传感器分析体力操作成本优化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利用机器警报聚合、优先级排序和分析解决问题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基于历史信息和传感器数据的预测性维护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基于边缘传感器的实时综合成本优化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基于增强现实的远程协助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远程生产优化平台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用数字仪表盘监控OEE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专为车间设计的数字化招聘平台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利用数字化工具增强员工之间的连接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用于远程生产优化的数字孪生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数字化赋能的人机匹配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升级企业生产智能系统进行运营管理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数据与信息系统集成平台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实时资产性能监控和可视化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基于传感器的KPI汇报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自动在线光学检测来取代最终产品手动检测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数字化质量审核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数字化的工作指导和质量功能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  <w:r>
              <w:rPr>
                <w:rFonts w:eastAsia="方正仿宋_GBK"/>
                <w:color w:val="000000"/>
                <w:sz w:val="24"/>
              </w:rPr>
              <w:t>具有集成工作流程的生产线操作数字化标准程序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对现场质量问题整合，明确优先级顺序，利用数据来解决问题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物联网赋能的制造质量管理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利用混合现实眼镜指导操作员进行在线检查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color w:val="000000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通过预测分析提高质量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color w:val="000000"/>
                <w:sz w:val="24"/>
              </w:rPr>
            </w:pPr>
            <w:r>
              <w:rPr>
                <w:rFonts w:eastAsia="方正仿宋_GBK"/>
                <w:color w:val="000000"/>
                <w:spacing w:val="-6"/>
                <w:sz w:val="24"/>
              </w:rPr>
              <w:t>扫描以替换并提高高成本三坐标测量仪的性能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端到端供应商网络聚合需求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基于智能支出和自动支出立方体的分析驱动采购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利用人工智能加速跨站点数字化应用扩展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数字化供应商绩效管理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端到端实时供应链可视化平台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pacing w:val="-11"/>
                <w:sz w:val="24"/>
              </w:rPr>
              <w:t>与设备OEM联合进行数据分析，实现流程优化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基于表面扫描的独特数字标签的零件溯源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支持自制或购买决策的应当成本建模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供应商和材料质量跟踪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快速设计原型的3D打印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产品设计与测试的3D仿真/数字孪生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面向市场的绩效管理高级分析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大数据/AI支持的产品设计与测试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众包和竞争开发数字化解决方案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通过数字化线程贯穿产品开发生命周期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使用机器人技术进行产品开发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快速外包原型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测试自动化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虚拟现实支持的原型设计制造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优化制造和分销路径的高级分析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动态仓储资源规划和调度分析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闭环规划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数字化综合业务规划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动态网络优化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基于数字孪生的动态生产调度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仓库设计的动态仿真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端到端实时供应链可视化平台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无接触总体规划（分配给工厂）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预测需求预测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库存预测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通过高级分析优化生产计划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实时库存管理（内部/外部）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实时销售和运营计划（S&amp;OP）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交通的</w:t>
            </w:r>
            <w:r>
              <w:rPr>
                <w:rFonts w:hint="eastAsia" w:eastAsia="方正仿宋_GBK"/>
                <w:color w:val="000000"/>
                <w:sz w:val="24"/>
              </w:rPr>
              <w:t>“</w:t>
            </w:r>
            <w:r>
              <w:rPr>
                <w:rFonts w:eastAsia="方正仿宋_GBK"/>
                <w:color w:val="000000"/>
                <w:sz w:val="24"/>
              </w:rPr>
              <w:t>优步化</w:t>
            </w:r>
            <w:r>
              <w:rPr>
                <w:rFonts w:hint="eastAsia" w:eastAsia="方正仿宋_GBK"/>
                <w:color w:val="000000"/>
                <w:sz w:val="24"/>
              </w:rPr>
              <w:t>”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物流资产使用和场管理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实时约束的ATP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数字物流控制塔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数字跟踪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数字化赋能的检料和运输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动态交付优化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无接触订单管理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车辆预测性维护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机器人驱动物流执行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3D打印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连接设备以跟踪和衡量消费者行为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连接设备以跟踪和衡量产品性能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hint="eastAsia" w:eastAsia="方正仿宋_GBK"/>
                <w:color w:val="000000"/>
                <w:sz w:val="24"/>
              </w:rPr>
              <w:t>RFID</w:t>
            </w:r>
            <w:r>
              <w:rPr>
                <w:rFonts w:eastAsia="方正仿宋_GBK"/>
                <w:color w:val="000000"/>
                <w:sz w:val="24"/>
              </w:rPr>
              <w:t>驱动的客户分析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建立终端用户接口，用于配置和订购产品，并跟踪交付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pacing w:val="-6"/>
                <w:sz w:val="24"/>
              </w:rPr>
              <w:t>通过新的交付解决方案向任意位置的客户交付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数字孪生驱动的客户系统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基于GPS地图的客户位置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大规模定制和</w:t>
            </w:r>
            <w:r>
              <w:rPr>
                <w:rFonts w:hint="eastAsia" w:eastAsia="方正仿宋_GBK"/>
                <w:color w:val="000000"/>
                <w:sz w:val="24"/>
              </w:rPr>
              <w:t>B2C</w:t>
            </w:r>
            <w:r>
              <w:rPr>
                <w:rFonts w:eastAsia="方正仿宋_GBK"/>
                <w:color w:val="000000"/>
                <w:sz w:val="24"/>
              </w:rPr>
              <w:t>在线订购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客户洞察在线社区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color w:val="000000"/>
                <w:sz w:val="24"/>
              </w:rPr>
              <w:t>智慧/智能包装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kern w:val="2"/>
                <w:sz w:val="24"/>
              </w:rPr>
              <w:t>可持续发展的数字孪生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kern w:val="2"/>
                <w:sz w:val="24"/>
              </w:rPr>
              <w:t>通过预测分析优化能源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kern w:val="2"/>
                <w:sz w:val="24"/>
              </w:rPr>
              <w:t>IIoT实时能源数据聚合和报告仪表板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4791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</w:rPr>
            </w:pPr>
            <w:r>
              <w:rPr>
                <w:rFonts w:eastAsia="方正仿宋_GBK"/>
                <w:kern w:val="2"/>
                <w:sz w:val="24"/>
              </w:rPr>
              <w:t>用于能源管理的基于传感器的数据收集</w:t>
            </w: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992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  <w:tc>
          <w:tcPr>
            <w:tcW w:w="1043" w:type="dxa"/>
            <w:vAlign w:val="center"/>
          </w:tcPr>
          <w:p>
            <w:pPr>
              <w:pStyle w:val="3"/>
              <w:adjustRightInd w:val="0"/>
              <w:snapToGrid w:val="0"/>
              <w:spacing w:after="0" w:line="0" w:lineRule="atLeast"/>
              <w:jc w:val="center"/>
              <w:rPr>
                <w:rFonts w:hint="eastAsia" w:eastAsia="方正仿宋_GBK"/>
                <w:kern w:val="2"/>
                <w:sz w:val="24"/>
                <w:lang w:bidi="ar"/>
              </w:rPr>
            </w:pPr>
          </w:p>
        </w:tc>
      </w:tr>
    </w:tbl>
    <w:p>
      <w:pPr>
        <w:pStyle w:val="9"/>
        <w:ind w:firstLine="0" w:firstLineChars="0"/>
        <w:jc w:val="left"/>
        <w:rPr>
          <w:rFonts w:ascii="Times New Roman" w:hAnsi="Times New Roman" w:eastAsia="方正仿宋_GBK" w:cs="Times New Roman"/>
        </w:rPr>
      </w:pPr>
    </w:p>
    <w:p>
      <w:pPr>
        <w:pStyle w:val="9"/>
        <w:ind w:firstLine="0" w:firstLineChars="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填写说明：请在符合的选项内打√，每个方向仅可选择一个阶段。</w:t>
      </w:r>
    </w:p>
    <w:p>
      <w:pPr>
        <w:pStyle w:val="9"/>
        <w:ind w:firstLine="0" w:firstLineChars="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选项说明：</w:t>
      </w:r>
    </w:p>
    <w:p>
      <w:pPr>
        <w:pStyle w:val="9"/>
        <w:ind w:firstLine="64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暂无：未开展应用；</w:t>
      </w:r>
    </w:p>
    <w:p>
      <w:pPr>
        <w:pStyle w:val="9"/>
        <w:ind w:firstLine="64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初始：处于技术开发、测试阶段；</w:t>
      </w:r>
    </w:p>
    <w:p>
      <w:pPr>
        <w:pStyle w:val="9"/>
        <w:ind w:firstLine="64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发展：通过技术开发、测试和验证，已开始部署试验，并产生一定影响；</w:t>
      </w:r>
    </w:p>
    <w:p>
      <w:pPr>
        <w:pStyle w:val="9"/>
        <w:ind w:firstLine="640"/>
        <w:jc w:val="left"/>
        <w:rPr>
          <w:rFonts w:ascii="仿宋_GB2312" w:hAnsi="Times New Roman" w:eastAsia="仿宋_GB2312" w:cs="Times New Roman"/>
        </w:rPr>
      </w:pPr>
      <w:r>
        <w:rPr>
          <w:rFonts w:hint="eastAsia" w:ascii="仿宋_GB2312" w:hAnsi="Times New Roman" w:eastAsia="仿宋_GB2312" w:cs="Times New Roman"/>
        </w:rPr>
        <w:t>先进：已大规模开发、验证和部署，产生重大影响。</w:t>
      </w:r>
    </w:p>
    <w:p>
      <w:pPr>
        <w:adjustRightInd w:val="0"/>
        <w:snapToGrid w:val="0"/>
        <w:spacing w:line="580" w:lineRule="atLeast"/>
        <w:rPr>
          <w:rFonts w:hint="eastAsia"/>
        </w:rPr>
      </w:pPr>
      <w:r>
        <w:t xml:space="preserve"> </w:t>
      </w:r>
    </w:p>
    <w:p>
      <w:pPr>
        <w:pStyle w:val="2"/>
        <w:spacing w:line="580" w:lineRule="exact"/>
        <w:ind w:firstLine="0" w:firstLineChars="0"/>
        <w:rPr>
          <w:rFonts w:hint="eastAsia" w:eastAsiaTheme="minorEastAsia"/>
          <w:sz w:val="32"/>
          <w:szCs w:val="32"/>
        </w:rPr>
      </w:pPr>
    </w:p>
    <w:sectPr>
      <w:pgSz w:w="11906" w:h="16838"/>
      <w:pgMar w:top="2041" w:right="1559" w:bottom="1928" w:left="1559" w:header="851" w:footer="1587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 New Roman (正文 CS 字体)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font-size:16px;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方正仿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  <w:docVar w:name="KGWebUrl" w:val="http://10.110.64.38:11000/weaver/weaver.file.FileDownloadForNews?uuid=3a3feea4-df4a-4aaa-85a8-6874c69681b6&amp;fileid=393321&amp;type=document&amp;isofficeview=0"/>
  </w:docVars>
  <w:rsids>
    <w:rsidRoot w:val="3BEF403F"/>
    <w:rsid w:val="000731DA"/>
    <w:rsid w:val="00122F77"/>
    <w:rsid w:val="001478AF"/>
    <w:rsid w:val="00187372"/>
    <w:rsid w:val="00191B82"/>
    <w:rsid w:val="001B2CC8"/>
    <w:rsid w:val="00262005"/>
    <w:rsid w:val="00621C60"/>
    <w:rsid w:val="00927ED2"/>
    <w:rsid w:val="009E28E1"/>
    <w:rsid w:val="00A04044"/>
    <w:rsid w:val="00A13E3E"/>
    <w:rsid w:val="00D239F3"/>
    <w:rsid w:val="00E475BD"/>
    <w:rsid w:val="00EF450E"/>
    <w:rsid w:val="08930F6E"/>
    <w:rsid w:val="150B29E4"/>
    <w:rsid w:val="1813435F"/>
    <w:rsid w:val="1B6520BA"/>
    <w:rsid w:val="21E42C06"/>
    <w:rsid w:val="272D60FD"/>
    <w:rsid w:val="2DCD3E68"/>
    <w:rsid w:val="2F2F22DC"/>
    <w:rsid w:val="35D50676"/>
    <w:rsid w:val="396F0351"/>
    <w:rsid w:val="3BEF403F"/>
    <w:rsid w:val="3D993AD4"/>
    <w:rsid w:val="47A26A36"/>
    <w:rsid w:val="5B50190A"/>
    <w:rsid w:val="5C2B652E"/>
    <w:rsid w:val="61332B3A"/>
    <w:rsid w:val="6388300D"/>
    <w:rsid w:val="785239B0"/>
    <w:rsid w:val="79343BB9"/>
    <w:rsid w:val="7BB0012F"/>
    <w:rsid w:val="7E98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 (正文 CS 字体)" w:hAnsi="Times New Roman (正文 CS 字体)" w:eastAsia="方正楷体_GBK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宋体" w:eastAsia="方正楷体_GBK" w:cs="宋体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  <w:rPr>
      <w:rFonts w:eastAsia="font-size:16px;"/>
    </w:rPr>
  </w:style>
  <w:style w:type="paragraph" w:styleId="3">
    <w:name w:val="Body Text"/>
    <w:basedOn w:val="1"/>
    <w:next w:val="1"/>
    <w:qFormat/>
    <w:uiPriority w:val="0"/>
    <w:pPr>
      <w:spacing w:after="120"/>
    </w:pPr>
    <w:rPr>
      <w:kern w:val="0"/>
      <w:sz w:val="20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（一）方正楷体 三号"/>
    <w:basedOn w:val="1"/>
    <w:qFormat/>
    <w:uiPriority w:val="0"/>
    <w:pPr>
      <w:widowControl/>
      <w:spacing w:line="600" w:lineRule="atLeast"/>
      <w:ind w:firstLine="200" w:firstLineChars="200"/>
    </w:pPr>
    <w:rPr>
      <w:rFonts w:ascii="Times New Roman (正文 CS 字体)" w:hAnsi="Times New Roman (正文 CS 字体)" w:eastAsia="方正黑体_GBK" w:cs="Cambria Math"/>
      <w:sz w:val="32"/>
      <w:szCs w:val="32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仿宋_GBK" w:hAnsi="宋体" w:eastAsia="方正仿宋_GBK" w:cs="方正仿宋_GBK"/>
      <w:color w:val="000000"/>
      <w:sz w:val="24"/>
      <w:szCs w:val="24"/>
      <w:lang w:val="en-US" w:eastAsia="zh-CN" w:bidi="ar-SA"/>
    </w:rPr>
  </w:style>
  <w:style w:type="character" w:customStyle="1" w:styleId="11">
    <w:name w:val="页眉 字符"/>
    <w:link w:val="5"/>
    <w:qFormat/>
    <w:uiPriority w:val="0"/>
    <w:rPr>
      <w:rFonts w:ascii="宋体" w:hAnsi="宋体"/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334</Words>
  <Characters>1905</Characters>
  <Lines>15</Lines>
  <Paragraphs>4</Paragraphs>
  <TotalTime>1</TotalTime>
  <ScaleCrop>false</ScaleCrop>
  <LinksUpToDate>false</LinksUpToDate>
  <CharactersWithSpaces>2235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2024-01-16T01:23:00Z</dcterms:created>
  <dc:creator>谢明池</dc:creator>
  <cp:lastModifiedBy>西夕</cp:lastModifiedBy>
  <dcterms:modified xsi:type="dcterms:W3CDTF">2025-05-08T01:29:23Z</dcterms:modified>
  <dc:title>渝经信智能〔2022〕 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F5930E6AB2924E529664C43011386C3B_13</vt:lpwstr>
  </property>
</Properties>
</file>