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AC5A14">
      <w:pPr>
        <w:pStyle w:val="12"/>
        <w:spacing w:before="0" w:beforeAutospacing="0" w:after="0" w:afterAutospacing="0"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>
        <w:rPr>
          <w:sz w:val="21"/>
          <w:szCs w:val="21"/>
        </w:rPr>
        <w:t>HF转动光谱测量得到谱线间隔如下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830"/>
        <w:gridCol w:w="830"/>
        <w:gridCol w:w="830"/>
        <w:gridCol w:w="830"/>
        <w:gridCol w:w="830"/>
        <w:gridCol w:w="830"/>
        <w:gridCol w:w="830"/>
        <w:gridCol w:w="831"/>
        <w:gridCol w:w="831"/>
      </w:tblGrid>
      <w:tr w14:paraId="4D99B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 w14:paraId="58089F8F">
            <w:pPr>
              <w:pStyle w:val="1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∆</m:t>
                </m:r>
              </m:oMath>
            </m:oMathPara>
          </w:p>
        </w:tc>
        <w:tc>
          <w:tcPr>
            <w:tcW w:w="830" w:type="dxa"/>
          </w:tcPr>
          <w:p w14:paraId="5DDE192C">
            <w:pPr>
              <w:pStyle w:val="1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41.10</w:t>
            </w:r>
          </w:p>
        </w:tc>
        <w:tc>
          <w:tcPr>
            <w:tcW w:w="830" w:type="dxa"/>
          </w:tcPr>
          <w:p w14:paraId="2C78A03A">
            <w:pPr>
              <w:pStyle w:val="1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40.96</w:t>
            </w:r>
          </w:p>
        </w:tc>
        <w:tc>
          <w:tcPr>
            <w:tcW w:w="830" w:type="dxa"/>
          </w:tcPr>
          <w:p w14:paraId="2AA7927C">
            <w:pPr>
              <w:pStyle w:val="1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40.86</w:t>
            </w:r>
          </w:p>
        </w:tc>
        <w:tc>
          <w:tcPr>
            <w:tcW w:w="830" w:type="dxa"/>
          </w:tcPr>
          <w:p w14:paraId="79AB6879">
            <w:pPr>
              <w:pStyle w:val="1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40.62</w:t>
            </w:r>
          </w:p>
        </w:tc>
        <w:tc>
          <w:tcPr>
            <w:tcW w:w="830" w:type="dxa"/>
          </w:tcPr>
          <w:p w14:paraId="3FD3EA76">
            <w:pPr>
              <w:pStyle w:val="1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40.32</w:t>
            </w:r>
          </w:p>
        </w:tc>
        <w:tc>
          <w:tcPr>
            <w:tcW w:w="830" w:type="dxa"/>
          </w:tcPr>
          <w:p w14:paraId="3FD67820">
            <w:pPr>
              <w:pStyle w:val="1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40.08</w:t>
            </w:r>
          </w:p>
        </w:tc>
        <w:tc>
          <w:tcPr>
            <w:tcW w:w="830" w:type="dxa"/>
          </w:tcPr>
          <w:p w14:paraId="21CB3380">
            <w:pPr>
              <w:pStyle w:val="1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39.64</w:t>
            </w:r>
          </w:p>
        </w:tc>
        <w:tc>
          <w:tcPr>
            <w:tcW w:w="831" w:type="dxa"/>
          </w:tcPr>
          <w:p w14:paraId="0B83811B">
            <w:pPr>
              <w:pStyle w:val="1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39.28</w:t>
            </w:r>
          </w:p>
        </w:tc>
        <w:tc>
          <w:tcPr>
            <w:tcW w:w="831" w:type="dxa"/>
          </w:tcPr>
          <w:p w14:paraId="4EFCA6D9">
            <w:pPr>
              <w:pStyle w:val="1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38.90</w:t>
            </w:r>
          </w:p>
        </w:tc>
      </w:tr>
    </w:tbl>
    <w:p w14:paraId="1DCC79C7">
      <w:pPr>
        <w:pStyle w:val="12"/>
        <w:spacing w:before="0" w:beforeAutospacing="0" w:after="0" w:afterAutospacing="0" w:line="360" w:lineRule="auto"/>
        <w:ind w:firstLine="420"/>
        <w:jc w:val="both"/>
        <w:rPr>
          <w:color w:val="FF0000"/>
          <w:sz w:val="21"/>
          <w:szCs w:val="21"/>
        </w:rPr>
      </w:pPr>
      <w:r>
        <w:rPr>
          <w:sz w:val="21"/>
          <w:szCs w:val="21"/>
        </w:rPr>
        <w:t>1）如上能级不是等间隔，显然要考虑离心力畸变。写出转动光谱谱线间隔的通式表达</w:t>
      </w:r>
      <w:r>
        <w:rPr>
          <w:rFonts w:hint="eastAsia"/>
          <w:sz w:val="21"/>
          <w:szCs w:val="21"/>
        </w:rPr>
        <w:t>式；</w:t>
      </w:r>
    </w:p>
    <w:p w14:paraId="48687D9E">
      <w:pPr>
        <w:pStyle w:val="12"/>
        <w:spacing w:before="0" w:beforeAutospacing="0" w:after="0" w:afterAutospacing="0" w:line="360" w:lineRule="auto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>2）根据表达式和数据，求HF的转动常数</w:t>
      </w:r>
      <m:oMath>
        <m:r>
          <m:rPr/>
          <w:rPr>
            <w:rFonts w:ascii="Cambria Math" w:hAnsi="Cambria Math"/>
            <w:sz w:val="21"/>
            <w:szCs w:val="21"/>
          </w:rPr>
          <m:t>B</m:t>
        </m:r>
      </m:oMath>
      <w:r>
        <w:rPr>
          <w:sz w:val="21"/>
          <w:szCs w:val="21"/>
        </w:rPr>
        <w:t>和离心力形变常数</w:t>
      </w:r>
      <m:oMath>
        <m:r>
          <m:rPr/>
          <w:rPr>
            <w:rFonts w:ascii="Cambria Math" w:hAnsi="Cambria Math"/>
            <w:sz w:val="21"/>
            <w:szCs w:val="21"/>
          </w:rPr>
          <m:t>D</m:t>
        </m:r>
      </m:oMath>
      <w:r>
        <w:rPr>
          <w:rFonts w:hint="eastAsia"/>
          <w:sz w:val="21"/>
          <w:szCs w:val="21"/>
        </w:rPr>
        <w:t>；</w:t>
      </w:r>
    </w:p>
    <w:p w14:paraId="6BA7E452">
      <w:pPr>
        <w:pStyle w:val="12"/>
        <w:spacing w:before="0" w:beforeAutospacing="0" w:after="0" w:afterAutospacing="0" w:line="360" w:lineRule="auto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>3）根据</w:t>
      </w:r>
      <w:r>
        <w:rPr>
          <w:rFonts w:hint="eastAsia"/>
          <w:sz w:val="21"/>
          <w:szCs w:val="21"/>
        </w:rPr>
        <w:t>上述结果计算转动基态（J=0）和第一转动激发态(J=1)下的</w:t>
      </w:r>
      <w:r>
        <w:rPr>
          <w:sz w:val="21"/>
          <w:szCs w:val="21"/>
        </w:rPr>
        <w:t>HF的键长，并和NIST</w:t>
      </w:r>
      <w:r>
        <w:rPr>
          <w:rFonts w:hint="eastAsia"/>
          <w:sz w:val="21"/>
          <w:szCs w:val="21"/>
        </w:rPr>
        <w:t>能查到的</w:t>
      </w:r>
      <w:r>
        <w:rPr>
          <w:sz w:val="21"/>
          <w:szCs w:val="21"/>
        </w:rPr>
        <w:t>结果进行对照</w:t>
      </w:r>
      <w:r>
        <w:rPr>
          <w:rFonts w:hint="eastAsia"/>
          <w:sz w:val="21"/>
          <w:szCs w:val="21"/>
        </w:rPr>
        <w:t>。</w:t>
      </w:r>
    </w:p>
    <w:p w14:paraId="5F2C00A7"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position w:val="-12"/>
          <w:lang w:eastAsia="zh-CN"/>
        </w:rPr>
        <w:object>
          <v:shape id="_x0000_i1025" o:spt="75" alt="" type="#_x0000_t75" style="height:20pt;width:20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  <w:position w:val="-10"/>
          <w:lang w:eastAsia="zh-CN"/>
        </w:rPr>
        <w:object>
          <v:shape id="_x0000_i1026" o:spt="75" alt="" type="#_x0000_t75" style="height:19pt;width:150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 w14:paraId="7EC45149"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position w:val="-14"/>
          <w:lang w:eastAsia="zh-CN"/>
        </w:rPr>
        <w:object>
          <v:shape id="_x0000_i1027" o:spt="75" alt="" type="#_x0000_t75" style="height:21pt;width:2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 w14:paraId="5525E394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</w:rPr>
        <w:t>2）根据以上数据可绘制出下图和对应的二阶趋势线。</w:t>
      </w:r>
    </w:p>
    <w:p w14:paraId="735C37F9">
      <w:pPr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4812665" cy="2743200"/>
            <wp:effectExtent l="4445" t="5080" r="12065" b="444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710F28"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其中，横轴对应量子数，纵轴为波数。所以</w:t>
      </w:r>
      <w:r>
        <w:rPr>
          <w:rFonts w:hint="eastAsia" w:ascii="楷体" w:hAnsi="楷体" w:eastAsia="楷体" w:cs="楷体"/>
          <w:position w:val="-24"/>
        </w:rPr>
        <w:object>
          <v:shape id="_x0000_i1028" o:spt="75" alt="" type="#_x0000_t75" style="height:31pt;width:1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="楷体" w:hAnsi="楷体" w:eastAsia="楷体" w:cs="楷体"/>
        </w:rPr>
        <w:t>，</w:t>
      </w:r>
      <w:r>
        <w:rPr>
          <w:rFonts w:hint="eastAsia" w:ascii="楷体" w:hAnsi="楷体" w:eastAsia="楷体" w:cs="楷体"/>
          <w:position w:val="-24"/>
        </w:rPr>
        <w:object>
          <v:shape id="_x0000_i1029" o:spt="75" alt="" type="#_x0000_t75" style="height:33pt;width:14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ascii="楷体" w:hAnsi="楷体" w:eastAsia="楷体" w:cs="楷体"/>
        </w:rPr>
        <w:t>。</w:t>
      </w:r>
    </w:p>
    <w:p w14:paraId="068F1224">
      <w:pPr>
        <w:numPr>
          <w:ilvl w:val="0"/>
          <w:numId w:val="1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令</w:t>
      </w:r>
      <w:r>
        <w:rPr>
          <w:rFonts w:hint="eastAsia" w:ascii="楷体" w:hAnsi="楷体" w:eastAsia="楷体" w:cs="楷体"/>
          <w:position w:val="-12"/>
          <w:lang w:eastAsia="zh-CN"/>
        </w:rPr>
        <w:object>
          <v:shape id="_x0000_i1055" o:spt="75" type="#_x0000_t75" style="height:20pt;width:200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55" DrawAspect="Content" ObjectID="_1468075730" r:id="rId15">
            <o:LockedField>false</o:LockedField>
          </o:OLEObject>
        </w:object>
      </w:r>
      <w:r>
        <w:rPr>
          <w:rFonts w:hint="eastAsia" w:ascii="楷体" w:hAnsi="楷体" w:eastAsia="楷体" w:cs="楷体"/>
          <w:lang w:eastAsia="zh-CN"/>
        </w:rPr>
        <w:t>，</w:t>
      </w:r>
    </w:p>
    <w:p w14:paraId="544EC28A">
      <w:pPr>
        <w:numPr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解得</w:t>
      </w:r>
      <w:r>
        <w:rPr>
          <w:rFonts w:hint="eastAsia" w:ascii="楷体" w:hAnsi="楷体" w:eastAsia="楷体" w:cs="楷体"/>
          <w:position w:val="-6"/>
          <w:lang w:val="en-US" w:eastAsia="zh-CN"/>
        </w:rPr>
        <w:object>
          <v:shape id="_x0000_i1056" o:spt="75" type="#_x0000_t75" style="height:17pt;width:242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56" DrawAspect="Content" ObjectID="_1468075731" r:id="rId17">
            <o:LockedField>false</o:LockedField>
          </o:OLEObject>
        </w:object>
      </w:r>
    </w:p>
    <w:p w14:paraId="0122A284"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又</w:t>
      </w:r>
      <w:r>
        <w:rPr>
          <w:rFonts w:hint="eastAsia" w:ascii="楷体" w:hAnsi="楷体" w:eastAsia="楷体" w:cs="楷体"/>
          <w:position w:val="-24"/>
        </w:rPr>
        <w:object>
          <v:shape id="_x0000_i1030" o:spt="75" alt="" type="#_x0000_t75" style="height:33pt;width:74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0" DrawAspect="Content" ObjectID="_1468075732" r:id="rId19">
            <o:LockedField>false</o:LockedField>
          </o:OLEObject>
        </w:object>
      </w:r>
      <w:r>
        <w:rPr>
          <w:rFonts w:hint="eastAsia" w:ascii="楷体" w:hAnsi="楷体" w:eastAsia="楷体" w:cs="楷体"/>
        </w:rPr>
        <w:t>，</w:t>
      </w:r>
      <w:r>
        <w:rPr>
          <w:rFonts w:hint="eastAsia" w:ascii="楷体" w:hAnsi="楷体" w:eastAsia="楷体" w:cs="楷体"/>
          <w:position w:val="-10"/>
        </w:rPr>
        <w:object>
          <v:shape id="_x0000_i1031" o:spt="75" type="#_x0000_t75" style="height:18pt;width:40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1" DrawAspect="Content" ObjectID="_1468075733" r:id="rId21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  <w:position w:val="-10"/>
        </w:rPr>
        <w:object>
          <v:shape id="_x0000_i1060" o:spt="75" type="#_x0000_t75" style="height:18pt;width:8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60" DrawAspect="Content" ObjectID="_1468075734" r:id="rId23">
            <o:LockedField>false</o:LockedField>
          </o:OLEObject>
        </w:object>
      </w:r>
      <w:r>
        <w:rPr>
          <w:rFonts w:hint="eastAsia" w:ascii="楷体" w:hAnsi="楷体" w:eastAsia="楷体" w:cs="楷体"/>
          <w:lang w:eastAsia="zh-CN"/>
        </w:rPr>
        <w:t>，</w:t>
      </w:r>
    </w:p>
    <w:p w14:paraId="3D591A0B">
      <w:pPr>
        <w:numPr>
          <w:numId w:val="0"/>
        </w:num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</w:rPr>
        <w:t>所以</w:t>
      </w:r>
      <w:r>
        <w:rPr>
          <w:rFonts w:hint="eastAsia" w:ascii="楷体" w:hAnsi="楷体" w:eastAsia="楷体" w:cs="楷体"/>
          <w:position w:val="-10"/>
        </w:rPr>
        <w:object>
          <v:shape id="_x0000_i1032" o:spt="75" alt="" type="#_x0000_t75" style="height:18pt;width:31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2" DrawAspect="Content" ObjectID="_1468075735" r:id="rId25">
            <o:LockedField>false</o:LockedField>
          </o:OLEObject>
        </w:object>
      </w:r>
      <w:r>
        <w:rPr>
          <w:rFonts w:hint="eastAsia" w:ascii="楷体" w:hAnsi="楷体" w:eastAsia="楷体" w:cs="楷体"/>
          <w:lang w:eastAsia="zh-CN"/>
        </w:rPr>
        <w:t>，</w:t>
      </w:r>
      <w:bookmarkStart w:id="0" w:name="_GoBack"/>
      <w:bookmarkEnd w:id="0"/>
    </w:p>
    <w:p w14:paraId="107CE193">
      <w:pPr>
        <w:numPr>
          <w:numId w:val="0"/>
        </w:numPr>
        <w:rPr>
          <w:rFonts w:hint="eastAsia" w:ascii="楷体" w:hAnsi="楷体" w:eastAsia="楷体" w:cs="楷体"/>
          <w:position w:val="-10"/>
          <w:lang w:eastAsia="zh-CN"/>
        </w:rPr>
      </w:pPr>
      <w:r>
        <w:rPr>
          <w:rFonts w:hint="eastAsia" w:ascii="楷体" w:hAnsi="楷体" w:eastAsia="楷体" w:cs="楷体"/>
          <w:position w:val="-6"/>
        </w:rPr>
        <w:object>
          <v:shape id="_x0000_i1058" o:spt="75" alt="" type="#_x0000_t75" style="height:16pt;width:290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58" DrawAspect="Content" ObjectID="_1468075736" r:id="rId27">
            <o:LockedField>false</o:LockedField>
          </o:OLEObject>
        </w:object>
      </w:r>
      <w:r>
        <w:rPr>
          <w:rFonts w:hint="eastAsia" w:ascii="楷体" w:hAnsi="楷体" w:eastAsia="楷体" w:cs="楷体"/>
          <w:lang w:eastAsia="zh-CN"/>
        </w:rPr>
        <w:t>。</w:t>
      </w:r>
    </w:p>
    <w:p w14:paraId="69ED3DF8">
      <w:pPr>
        <w:rPr>
          <w:rFonts w:ascii="宋体" w:hAnsi="宋体" w:eastAsia="宋体"/>
        </w:rPr>
      </w:pPr>
    </w:p>
    <w:p w14:paraId="54ECE1CA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2. （1）氨气NH</w:t>
      </w:r>
      <w:r>
        <w:rPr>
          <w:rFonts w:hint="eastAsia" w:ascii="宋体" w:hAnsi="宋体" w:eastAsia="宋体"/>
          <w:vertAlign w:val="subscript"/>
        </w:rPr>
        <w:t>3</w:t>
      </w:r>
      <w:r>
        <w:rPr>
          <w:rFonts w:hint="eastAsia" w:ascii="宋体" w:hAnsi="宋体" w:eastAsia="宋体"/>
        </w:rPr>
        <w:t>的N-H键长是101.4pm，键角是106.78°，计算NH</w:t>
      </w:r>
      <w:r>
        <w:rPr>
          <w:rFonts w:hint="eastAsia" w:ascii="宋体" w:hAnsi="宋体" w:eastAsia="宋体"/>
          <w:vertAlign w:val="subscript"/>
        </w:rPr>
        <w:t>3</w:t>
      </w:r>
      <w:r>
        <w:rPr>
          <w:rFonts w:hint="eastAsia" w:ascii="宋体" w:hAnsi="宋体" w:eastAsia="宋体"/>
        </w:rPr>
        <w:t>的转动常数并查表确认。（2）不考虑离心畸变，画出NH</w:t>
      </w:r>
      <w:r>
        <w:rPr>
          <w:rFonts w:hint="eastAsia" w:ascii="宋体" w:hAnsi="宋体" w:eastAsia="宋体"/>
          <w:vertAlign w:val="subscript"/>
        </w:rPr>
        <w:t>3</w:t>
      </w:r>
      <w:r>
        <w:rPr>
          <w:rFonts w:hint="eastAsia" w:ascii="宋体" w:hAnsi="宋体" w:eastAsia="宋体"/>
        </w:rPr>
        <w:t>的转动能级图（包括J，K）并标出对应的跃迁。</w:t>
      </w:r>
    </w:p>
    <w:p w14:paraId="34689354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（1）底边三角形边长</w:t>
      </w:r>
      <w:r>
        <w:rPr>
          <w:rFonts w:hint="eastAsia" w:ascii="楷体" w:hAnsi="楷体" w:eastAsia="楷体" w:cs="楷体"/>
          <w:position w:val="-28"/>
          <w:lang w:val="en-US" w:eastAsia="zh-CN"/>
        </w:rPr>
        <w:object>
          <v:shape id="_x0000_i1033" o:spt="75" type="#_x0000_t75" style="height:34pt;width:139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3" DrawAspect="Content" ObjectID="_1468075737" r:id="rId29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</w:t>
      </w:r>
    </w:p>
    <w:p w14:paraId="201E1C68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氢原子离主轴距离</w:t>
      </w:r>
      <w:r>
        <w:rPr>
          <w:rFonts w:hint="eastAsia" w:ascii="楷体" w:hAnsi="楷体" w:eastAsia="楷体" w:cs="楷体"/>
          <w:position w:val="-24"/>
          <w:lang w:val="en-US" w:eastAsia="zh-CN"/>
        </w:rPr>
        <w:object>
          <v:shape id="_x0000_i1034" o:spt="75" type="#_x0000_t75" style="height:31pt;width:118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4" DrawAspect="Content" ObjectID="_1468075738" r:id="rId31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</w:t>
      </w:r>
    </w:p>
    <w:p w14:paraId="7CC79140">
      <w:pP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lang w:val="en-US" w:eastAsia="zh-CN"/>
        </w:rPr>
        <w:t>主轴转动惯量</w:t>
      </w:r>
      <w:r>
        <w:rPr>
          <w:rFonts w:hint="eastAsia" w:ascii="楷体" w:hAnsi="楷体" w:eastAsia="楷体" w:cs="楷体"/>
          <w:position w:val="-14"/>
          <w:lang w:val="en-US" w:eastAsia="zh-CN"/>
        </w:rPr>
        <w:object>
          <v:shape id="_x0000_i1035" o:spt="75" type="#_x0000_t75" style="height:20pt;width:161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5" DrawAspect="Content" ObjectID="_1468075739" r:id="rId33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。</w:t>
      </w:r>
    </w:p>
    <w:p w14:paraId="369E4C14">
      <w:pP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  <w:t>氢原子在主轴上的投影与氮原子的距离</w:t>
      </w:r>
      <w:r>
        <w:rPr>
          <w:rFonts w:hint="eastAsia" w:hAnsi="Cambria Math" w:eastAsia="楷体" w:cs="Cambria Math"/>
          <w:i w:val="0"/>
          <w:kern w:val="2"/>
          <w:position w:val="-14"/>
          <w:sz w:val="21"/>
          <w:szCs w:val="22"/>
          <w:lang w:val="en-US" w:eastAsia="zh-CN" w:bidi="ar-SA"/>
        </w:rPr>
        <w:object>
          <v:shape id="_x0000_i1036" o:spt="75" type="#_x0000_t75" style="height:23pt;width:124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6" DrawAspect="Content" ObjectID="_1468075740" r:id="rId35">
            <o:LockedField>false</o:LockedField>
          </o:OLEObject>
        </w:object>
      </w:r>
      <w: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  <w:t>，</w:t>
      </w:r>
    </w:p>
    <w:p w14:paraId="6F53B40E">
      <w:pP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  <w:t>该投影和氮原子离分子质心的距离同两侧的质量成反比，</w:t>
      </w:r>
    </w:p>
    <w:p w14:paraId="3AA00615">
      <w:pP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  <w:t>即氮原子离质心的距离</w:t>
      </w:r>
      <w:r>
        <w:rPr>
          <w:rFonts w:hint="eastAsia" w:hAnsi="Cambria Math" w:eastAsia="楷体" w:cs="Cambria Math"/>
          <w:i w:val="0"/>
          <w:kern w:val="2"/>
          <w:position w:val="-30"/>
          <w:sz w:val="21"/>
          <w:szCs w:val="22"/>
          <w:lang w:val="en-US" w:eastAsia="zh-CN" w:bidi="ar-SA"/>
        </w:rPr>
        <w:object>
          <v:shape id="_x0000_i1037" o:spt="75" type="#_x0000_t75" style="height:34pt;width:130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7" DrawAspect="Content" ObjectID="_1468075741" r:id="rId37">
            <o:LockedField>false</o:LockedField>
          </o:OLEObject>
        </w:object>
      </w:r>
      <w: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  <w:t>。</w:t>
      </w:r>
    </w:p>
    <w:p w14:paraId="599B6331">
      <w:pP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  <w:t>对氢原子标号，令副轴平行于“</w:t>
      </w: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lang w:val="en-US" w:eastAsia="zh-CN" w:bidi="ar-SA"/>
        </w:rPr>
        <w:t>H</w:t>
      </w: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eastAsia" w:hAnsi="Cambria Math" w:eastAsia="楷体" w:cs="Cambria Math"/>
          <w:i w:val="0"/>
          <w:kern w:val="2"/>
          <w:sz w:val="21"/>
          <w:szCs w:val="22"/>
          <w:vertAlign w:val="baseline"/>
          <w:lang w:val="en-US" w:eastAsia="zh-CN" w:bidi="ar-SA"/>
        </w:rPr>
        <w:t>与</w:t>
      </w: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vertAlign w:val="baseline"/>
          <w:lang w:val="en-US" w:eastAsia="zh-CN" w:bidi="ar-SA"/>
        </w:rPr>
        <w:t>H</w:t>
      </w: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vertAlign w:val="subscript"/>
          <w:lang w:val="en-US" w:eastAsia="zh-CN" w:bidi="ar-SA"/>
        </w:rPr>
        <w:t>C</w:t>
      </w:r>
      <w:r>
        <w:rPr>
          <w:rFonts w:hint="eastAsia" w:hAnsi="Cambria Math" w:eastAsia="楷体" w:cs="Cambria Math"/>
          <w:i w:val="0"/>
          <w:kern w:val="2"/>
          <w:sz w:val="21"/>
          <w:szCs w:val="22"/>
          <w:vertAlign w:val="baseline"/>
          <w:lang w:val="en-US" w:eastAsia="zh-CN" w:bidi="ar-SA"/>
        </w:rPr>
        <w:t>的中点同</w:t>
      </w: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vertAlign w:val="baseline"/>
          <w:lang w:val="en-US" w:eastAsia="zh-CN" w:bidi="ar-SA"/>
        </w:rPr>
        <w:t>H</w:t>
      </w: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eastAsia" w:hAnsi="Cambria Math" w:eastAsia="楷体" w:cs="Cambria Math"/>
          <w:i w:val="0"/>
          <w:kern w:val="2"/>
          <w:sz w:val="21"/>
          <w:szCs w:val="22"/>
          <w:vertAlign w:val="baseline"/>
          <w:lang w:val="en-US" w:eastAsia="zh-CN" w:bidi="ar-SA"/>
        </w:rPr>
        <w:t>的连线</w:t>
      </w:r>
      <w: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  <w:t>”，</w:t>
      </w:r>
    </w:p>
    <w:p w14:paraId="5185394B">
      <w:pP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  <w:t>则</w:t>
      </w: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vertAlign w:val="baseline"/>
          <w:lang w:val="en-US" w:eastAsia="zh-CN" w:bidi="ar-SA"/>
        </w:rPr>
        <w:t>H</w:t>
      </w: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  <w:t>与副轴的距离</w:t>
      </w:r>
      <w:r>
        <w:rPr>
          <w:rFonts w:hint="eastAsia" w:hAnsi="Cambria Math" w:eastAsia="楷体" w:cs="Cambria Math"/>
          <w:i w:val="0"/>
          <w:kern w:val="2"/>
          <w:position w:val="-30"/>
          <w:sz w:val="21"/>
          <w:szCs w:val="22"/>
          <w:lang w:val="en-US" w:eastAsia="zh-CN" w:bidi="ar-SA"/>
        </w:rPr>
        <w:object>
          <v:shape id="_x0000_i1038" o:spt="75" type="#_x0000_t75" style="height:34pt;width:14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38" DrawAspect="Content" ObjectID="_1468075742" r:id="rId39">
            <o:LockedField>false</o:LockedField>
          </o:OLEObject>
        </w:object>
      </w:r>
      <w: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  <w:t>，</w:t>
      </w:r>
    </w:p>
    <w:p w14:paraId="081679ED">
      <w:pPr>
        <w:rPr>
          <w:rFonts w:hint="default" w:hAnsi="Cambria Math" w:eastAsia="楷体" w:cs="Cambria Math"/>
          <w:i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lang w:val="en-US" w:eastAsia="zh-CN" w:bidi="ar-SA"/>
        </w:rPr>
        <w:t>H</w:t>
      </w: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eastAsia" w:hAnsi="Cambria Math" w:eastAsia="楷体" w:cs="Cambria Math"/>
          <w:i w:val="0"/>
          <w:kern w:val="2"/>
          <w:sz w:val="21"/>
          <w:szCs w:val="22"/>
          <w:vertAlign w:val="baseline"/>
          <w:lang w:val="en-US" w:eastAsia="zh-CN" w:bidi="ar-SA"/>
        </w:rPr>
        <w:t>与</w:t>
      </w: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vertAlign w:val="baseline"/>
          <w:lang w:val="en-US" w:eastAsia="zh-CN" w:bidi="ar-SA"/>
        </w:rPr>
        <w:t>H</w:t>
      </w: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vertAlign w:val="subscript"/>
          <w:lang w:val="en-US" w:eastAsia="zh-CN" w:bidi="ar-SA"/>
        </w:rPr>
        <w:t>C</w:t>
      </w:r>
      <w: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  <w:t>与副轴的距离</w:t>
      </w:r>
      <w:r>
        <w:rPr>
          <w:rFonts w:hint="eastAsia" w:hAnsi="Cambria Math" w:eastAsia="楷体" w:cs="Cambria Math"/>
          <w:i w:val="0"/>
          <w:kern w:val="2"/>
          <w:position w:val="-30"/>
          <w:sz w:val="21"/>
          <w:szCs w:val="22"/>
          <w:lang w:val="en-US" w:eastAsia="zh-CN" w:bidi="ar-SA"/>
        </w:rPr>
        <w:object>
          <v:shape id="_x0000_i1039" o:spt="75" type="#_x0000_t75" style="height:40pt;width:139.9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39" DrawAspect="Content" ObjectID="_1468075743" r:id="rId41">
            <o:LockedField>false</o:LockedField>
          </o:OLEObject>
        </w:object>
      </w:r>
      <w: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  <w:t>。</w:t>
      </w:r>
    </w:p>
    <w:p w14:paraId="1C8F87FF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position w:val="-14"/>
          <w:lang w:val="en-US" w:eastAsia="zh-CN"/>
        </w:rPr>
        <w:object>
          <v:shape id="_x0000_i1040" o:spt="75" type="#_x0000_t75" style="height:21pt;width:294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0" DrawAspect="Content" ObjectID="_1468075744" r:id="rId43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。</w:t>
      </w:r>
    </w:p>
    <w:p w14:paraId="7CEADFAA"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hAnsi="Cambria Math" w:eastAsia="楷体" w:cs="Cambria Math"/>
          <w:i w:val="0"/>
          <w:kern w:val="2"/>
          <w:position w:val="-30"/>
          <w:sz w:val="21"/>
          <w:szCs w:val="22"/>
          <w:lang w:val="en-US" w:eastAsia="zh-CN" w:bidi="ar-SA"/>
        </w:rPr>
        <w:object>
          <v:shape id="_x0000_i1041" o:spt="75" type="#_x0000_t75" style="height:34pt;width:132.9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1" DrawAspect="Content" ObjectID="_1468075745" r:id="rId45">
            <o:LockedField>false</o:LockedField>
          </o:OLEObject>
        </w:object>
      </w:r>
      <w: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  <w:t>，</w:t>
      </w:r>
      <w:r>
        <w:rPr>
          <w:rFonts w:hint="default" w:ascii="楷体" w:hAnsi="楷体" w:eastAsia="楷体" w:cs="楷体"/>
          <w:position w:val="-6"/>
          <w:lang w:val="en-US" w:eastAsia="zh-CN"/>
        </w:rPr>
        <w:object>
          <v:shape id="_x0000_i1042" o:spt="75" type="#_x0000_t75" style="height:17pt;width:66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2" DrawAspect="Content" ObjectID="_1468075746" r:id="rId47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。</w:t>
      </w:r>
    </w:p>
    <w:p w14:paraId="1E900B86">
      <w:pPr>
        <w:rPr>
          <w:rFonts w:hint="default" w:hAnsi="Cambria Math" w:eastAsia="楷体" w:cs="Cambria Math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 w:hAnsi="Cambria Math" w:eastAsia="楷体" w:cs="Cambria Math"/>
          <w:i w:val="0"/>
          <w:kern w:val="2"/>
          <w:sz w:val="21"/>
          <w:szCs w:val="22"/>
          <w:lang w:val="en-US" w:eastAsia="zh-CN" w:bidi="ar-SA"/>
        </w:rPr>
        <w:t>（2）</w:t>
      </w:r>
      <w:r>
        <w:drawing>
          <wp:inline distT="0" distB="0" distL="114300" distR="114300">
            <wp:extent cx="2205355" cy="2256155"/>
            <wp:effectExtent l="0" t="0" r="4445" b="1270"/>
            <wp:docPr id="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25B0">
      <w:pPr>
        <w:rPr>
          <w:rFonts w:hint="default" w:ascii="宋体" w:hAnsi="宋体" w:eastAsia="宋体"/>
          <w:lang w:val="en-US" w:eastAsia="zh-CN"/>
        </w:rPr>
      </w:pPr>
    </w:p>
    <w:p w14:paraId="780CC050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3. </w:t>
      </w:r>
      <w:r>
        <w:rPr>
          <w:rFonts w:ascii="宋体" w:hAnsi="宋体" w:eastAsia="宋体"/>
        </w:rPr>
        <w:t>热力学方面的考虑表明，铜的单价卤化物（CuX）在气态下主要以聚合物的形式存在。事实上，人们发现很难获得足够多的单体，以便能用光谱学方法检测到它们。这一问题通过让卤素气体流经加热至1100开尔文的铜得以解决。对于CuBr，</w:t>
      </w:r>
      <w:r>
        <w:rPr>
          <w:rFonts w:hint="eastAsia" w:ascii="宋体" w:hAnsi="宋体" w:eastAsia="宋体"/>
        </w:rPr>
        <w:t>通过转动光谱测得</w:t>
      </w:r>
      <w:r>
        <w:rPr>
          <w:rFonts w:ascii="宋体" w:hAnsi="宋体" w:eastAsia="宋体"/>
        </w:rPr>
        <w:t>J = 13→14、14→15和15→16的能级跃迁分别发生在84421.34</w:t>
      </w:r>
      <w:r>
        <w:rPr>
          <w:rFonts w:hint="eastAsia" w:ascii="宋体" w:hAnsi="宋体" w:eastAsia="宋体"/>
        </w:rPr>
        <w:t xml:space="preserve"> MHz</w:t>
      </w:r>
      <w:r>
        <w:rPr>
          <w:rFonts w:ascii="宋体" w:hAnsi="宋体" w:eastAsia="宋体"/>
        </w:rPr>
        <w:t>、90449.25</w:t>
      </w:r>
      <w:r>
        <w:rPr>
          <w:rFonts w:hint="eastAsia" w:ascii="宋体" w:hAnsi="宋体" w:eastAsia="宋体"/>
        </w:rPr>
        <w:t xml:space="preserve"> MHz</w:t>
      </w:r>
      <w:r>
        <w:rPr>
          <w:rFonts w:ascii="宋体" w:hAnsi="宋体" w:eastAsia="宋体"/>
        </w:rPr>
        <w:t>和96476.72</w:t>
      </w:r>
      <w:r>
        <w:rPr>
          <w:rFonts w:hint="eastAsia" w:ascii="宋体" w:hAnsi="宋体" w:eastAsia="宋体"/>
        </w:rPr>
        <w:t xml:space="preserve"> MHz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>（1）</w:t>
      </w:r>
      <w:r>
        <w:rPr>
          <w:rFonts w:ascii="宋体" w:hAnsi="宋体" w:eastAsia="宋体"/>
        </w:rPr>
        <w:t>请计算CuBr的转动常数和键长。</w:t>
      </w:r>
      <w:r>
        <w:rPr>
          <w:rFonts w:hint="eastAsia" w:ascii="宋体" w:hAnsi="宋体" w:eastAsia="宋体"/>
        </w:rPr>
        <w:t>（2）不考虑离心畸变，计算在1100K和室温下，谱线强度最大的J值。</w:t>
      </w:r>
    </w:p>
    <w:p w14:paraId="0A333462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（1）即谱线分别为281.5993cm</w:t>
      </w:r>
      <w:r>
        <w:rPr>
          <w:rFonts w:hint="eastAsia" w:ascii="楷体" w:hAnsi="楷体" w:eastAsia="楷体" w:cs="楷体"/>
          <w:vertAlign w:val="superscript"/>
          <w:lang w:val="en-US" w:eastAsia="zh-CN"/>
        </w:rPr>
        <w:t>-1</w:t>
      </w:r>
      <w:r>
        <w:rPr>
          <w:rFonts w:hint="eastAsia" w:ascii="楷体" w:hAnsi="楷体" w:eastAsia="楷体" w:cs="楷体"/>
          <w:lang w:val="en-US" w:eastAsia="zh-CN"/>
        </w:rPr>
        <w:t>、301.7062cm</w:t>
      </w:r>
      <w:r>
        <w:rPr>
          <w:rFonts w:hint="eastAsia" w:ascii="楷体" w:hAnsi="楷体" w:eastAsia="楷体" w:cs="楷体"/>
          <w:vertAlign w:val="superscript"/>
          <w:lang w:val="en-US" w:eastAsia="zh-CN"/>
        </w:rPr>
        <w:t>-1</w:t>
      </w:r>
      <w:r>
        <w:rPr>
          <w:rFonts w:hint="eastAsia" w:ascii="楷体" w:hAnsi="楷体" w:eastAsia="楷体" w:cs="楷体"/>
          <w:lang w:val="en-US" w:eastAsia="zh-CN"/>
        </w:rPr>
        <w:t>、321.8117cm</w:t>
      </w:r>
      <w:r>
        <w:rPr>
          <w:rFonts w:hint="eastAsia" w:ascii="楷体" w:hAnsi="楷体" w:eastAsia="楷体" w:cs="楷体"/>
          <w:vertAlign w:val="superscript"/>
          <w:lang w:val="en-US" w:eastAsia="zh-CN"/>
        </w:rPr>
        <w:t>-1</w:t>
      </w:r>
      <w:r>
        <w:rPr>
          <w:rFonts w:hint="eastAsia" w:ascii="楷体" w:hAnsi="楷体" w:eastAsia="楷体" w:cs="楷体"/>
          <w:lang w:val="en-US" w:eastAsia="zh-CN"/>
        </w:rPr>
        <w:t>，</w:t>
      </w:r>
    </w:p>
    <w:p w14:paraId="10B0172A">
      <w:pPr>
        <w:rPr>
          <w:rFonts w:hint="eastAsia" w:ascii="楷体" w:hAnsi="楷体" w:eastAsia="楷体" w:cs="楷体"/>
          <w:position w:val="-14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同1拟合得</w:t>
      </w:r>
      <w:r>
        <w:rPr>
          <w:rFonts w:hint="eastAsia" w:ascii="楷体" w:hAnsi="楷体" w:eastAsia="楷体" w:cs="楷体"/>
          <w:position w:val="-14"/>
          <w:lang w:eastAsia="zh-CN"/>
        </w:rPr>
        <w:object>
          <v:shape id="_x0000_i1043" o:spt="75" type="#_x0000_t75" style="height:20pt;width:19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3" DrawAspect="Content" ObjectID="_1468075747" r:id="rId50">
            <o:LockedField>false</o:LockedField>
          </o:OLEObject>
        </w:object>
      </w:r>
      <w:r>
        <w:rPr>
          <w:rFonts w:hint="eastAsia" w:ascii="楷体" w:hAnsi="楷体" w:eastAsia="楷体" w:cs="楷体"/>
          <w:position w:val="-6"/>
          <w:lang w:val="en-US" w:eastAsia="zh-CN"/>
        </w:rPr>
        <w:object>
          <v:shape id="_x0000_i1044" o:spt="75" type="#_x0000_t75" style="height:17pt;width:83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4" DrawAspect="Content" ObjectID="_1468075748" r:id="rId52">
            <o:LockedField>false</o:LockedField>
          </o:OLEObject>
        </w:object>
      </w:r>
    </w:p>
    <w:p w14:paraId="707CC80B">
      <w:pPr>
        <w:rPr>
          <w:rFonts w:hint="default" w:ascii="楷体" w:hAnsi="楷体" w:eastAsia="楷体" w:cs="楷体"/>
          <w:position w:val="-14"/>
          <w:lang w:val="en-US" w:eastAsia="zh-CN"/>
        </w:rPr>
      </w:pPr>
      <w:r>
        <w:rPr>
          <w:rFonts w:hint="eastAsia" w:ascii="楷体" w:hAnsi="楷体" w:eastAsia="楷体" w:cs="楷体"/>
          <w:position w:val="-24"/>
          <w:lang w:val="en-US" w:eastAsia="zh-CN"/>
        </w:rPr>
        <w:object>
          <v:shape id="_x0000_i1045" o:spt="75" type="#_x0000_t75" style="height:31pt;width:54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5" DrawAspect="Content" ObjectID="_1468075749" r:id="rId54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得</w:t>
      </w:r>
      <w:r>
        <w:rPr>
          <w:rFonts w:hint="eastAsia" w:ascii="楷体" w:hAnsi="楷体" w:eastAsia="楷体" w:cs="楷体"/>
          <w:position w:val="-6"/>
          <w:lang w:val="en-US" w:eastAsia="zh-CN"/>
        </w:rPr>
        <w:object>
          <v:shape id="_x0000_i1046" o:spt="75" type="#_x0000_t75" style="height:16pt;width:74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6" DrawAspect="Content" ObjectID="_1468075750" r:id="rId56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，又</w:t>
      </w:r>
      <w:r>
        <w:rPr>
          <w:rFonts w:hint="default" w:ascii="楷体" w:hAnsi="楷体" w:eastAsia="楷体" w:cs="楷体"/>
          <w:position w:val="-10"/>
          <w:lang w:val="en-US" w:eastAsia="zh-CN"/>
        </w:rPr>
        <w:object>
          <v:shape id="_x0000_i1047" o:spt="75" type="#_x0000_t75" style="height:18pt;width:90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7" DrawAspect="Content" ObjectID="_1468075751" r:id="rId58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，得键长</w:t>
      </w:r>
      <w:r>
        <w:rPr>
          <w:rFonts w:hint="eastAsia" w:ascii="楷体" w:hAnsi="楷体" w:eastAsia="楷体" w:cs="楷体"/>
          <w:position w:val="-6"/>
          <w:lang w:val="en-US" w:eastAsia="zh-CN"/>
        </w:rPr>
        <w:object>
          <v:shape id="_x0000_i1048" o:spt="75" type="#_x0000_t75" style="height:16pt;width:87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48" DrawAspect="Content" ObjectID="_1468075752" r:id="rId60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。</w:t>
      </w:r>
    </w:p>
    <w:p w14:paraId="2352046D"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</w:t>
      </w:r>
      <w:r>
        <w:rPr>
          <w:rFonts w:hint="eastAsia" w:ascii="楷体" w:hAnsi="楷体" w:eastAsia="楷体" w:cs="楷体"/>
          <w:position w:val="-26"/>
          <w:lang w:val="en-US" w:eastAsia="zh-CN"/>
        </w:rPr>
        <w:object>
          <v:shape id="_x0000_i1049" o:spt="75" type="#_x0000_t75" style="height:35pt;width:22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49" DrawAspect="Content" ObjectID="_1468075753" r:id="rId62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。</w:t>
      </w:r>
    </w:p>
    <w:p w14:paraId="090EA2B4">
      <w:pPr>
        <w:rPr>
          <w:rFonts w:hint="eastAsia" w:ascii="宋体" w:hAnsi="宋体" w:eastAsia="宋体"/>
        </w:rPr>
      </w:pPr>
    </w:p>
    <w:p w14:paraId="4498A1B8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 宇宙微波背景辐射的温度大约为2.7K，但在各处是有微小变化的。</w:t>
      </w:r>
      <w:r>
        <w:rPr>
          <w:rFonts w:ascii="宋体" w:hAnsi="宋体" w:eastAsia="宋体"/>
        </w:rPr>
        <w:t>CH和CN两种自由基均在星云的转动</w:t>
      </w:r>
      <w:r>
        <w:rPr>
          <w:rFonts w:hint="eastAsia" w:ascii="宋体" w:hAnsi="宋体" w:eastAsia="宋体"/>
        </w:rPr>
        <w:t>光谱中表现出很强的吸收。从</w:t>
      </w:r>
      <w:r>
        <w:rPr>
          <w:rFonts w:ascii="宋体" w:hAnsi="宋体" w:eastAsia="宋体"/>
        </w:rPr>
        <w:t>NIST查找CH和CN的转动常数，</w:t>
      </w:r>
      <w:r>
        <w:rPr>
          <w:rFonts w:hint="eastAsia" w:ascii="宋体" w:hAnsi="宋体" w:eastAsia="宋体"/>
        </w:rPr>
        <w:t>画出CH和CN在2.7K下的转动光谱并</w:t>
      </w:r>
      <w:r>
        <w:rPr>
          <w:rFonts w:ascii="宋体" w:hAnsi="宋体" w:eastAsia="宋体"/>
        </w:rPr>
        <w:t>说明哪一种更适</w:t>
      </w:r>
      <w:r>
        <w:rPr>
          <w:rFonts w:hint="eastAsia" w:ascii="宋体" w:hAnsi="宋体" w:eastAsia="宋体"/>
        </w:rPr>
        <w:t>合用来作为标准判断星云处宇宙微波背景辐射的精确温度。</w:t>
      </w:r>
    </w:p>
    <w:p w14:paraId="467819BE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查得CH和CN的转动常数分别为</w:t>
      </w:r>
      <m:oMath>
        <m:r>
          <m:rPr/>
          <w:rPr>
            <w:rFonts w:ascii="Cambria Math" w:hAnsi="Cambria Math" w:eastAsia="楷体"/>
            <w:sz w:val="24"/>
            <w:szCs w:val="24"/>
          </w:rPr>
          <m:t xml:space="preserve">14.46 </m:t>
        </m:r>
        <m:sSup>
          <m:sSupPr>
            <m:ctrlPr>
              <w:rPr>
                <w:rFonts w:ascii="Cambria Math" w:hAnsi="Cambria Math" w:eastAsia="楷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楷体"/>
                <w:sz w:val="24"/>
                <w:szCs w:val="24"/>
              </w:rPr>
              <m:t>cm</m:t>
            </m:r>
            <m:ctrlPr>
              <w:rPr>
                <w:rFonts w:ascii="Cambria Math" w:hAnsi="Cambria Math" w:eastAsia="楷体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楷体"/>
                <w:sz w:val="24"/>
                <w:szCs w:val="24"/>
              </w:rPr>
              <m:t>−1</m:t>
            </m:r>
            <m:ctrlPr>
              <w:rPr>
                <w:rFonts w:ascii="Cambria Math" w:hAnsi="Cambria Math" w:eastAsia="楷体"/>
                <w:i/>
                <w:sz w:val="24"/>
                <w:szCs w:val="24"/>
              </w:rPr>
            </m:ctrlPr>
          </m:sup>
        </m:sSup>
      </m:oMath>
      <w:r>
        <w:rPr>
          <w:rFonts w:hint="eastAsia" w:ascii="楷体" w:hAnsi="楷体" w:eastAsia="楷体"/>
          <w:sz w:val="24"/>
          <w:szCs w:val="24"/>
          <w:lang w:val="en-US" w:eastAsia="zh-CN"/>
        </w:rPr>
        <w:t>和</w:t>
      </w:r>
      <m:oMath>
        <m:r>
          <m:rPr/>
          <w:rPr>
            <w:rFonts w:ascii="Cambria Math" w:hAnsi="Cambria Math" w:eastAsia="楷体"/>
            <w:sz w:val="24"/>
            <w:szCs w:val="24"/>
          </w:rPr>
          <m:t xml:space="preserve">1.90 </m:t>
        </m:r>
        <m:sSup>
          <m:sSupPr>
            <m:ctrlPr>
              <w:rPr>
                <w:rFonts w:ascii="Cambria Math" w:hAnsi="Cambria Math" w:eastAsia="楷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楷体"/>
                <w:sz w:val="24"/>
                <w:szCs w:val="24"/>
              </w:rPr>
              <m:t>cm</m:t>
            </m:r>
            <m:ctrlPr>
              <w:rPr>
                <w:rFonts w:ascii="Cambria Math" w:hAnsi="Cambria Math" w:eastAsia="楷体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楷体"/>
                <w:sz w:val="24"/>
                <w:szCs w:val="24"/>
              </w:rPr>
              <m:t>−1</m:t>
            </m:r>
            <m:ctrlPr>
              <w:rPr>
                <w:rFonts w:ascii="Cambria Math" w:hAnsi="Cambria Math" w:eastAsia="楷体"/>
                <w:i/>
                <w:sz w:val="24"/>
                <w:szCs w:val="24"/>
              </w:rPr>
            </m:ctrlPr>
          </m:sup>
        </m:sSup>
      </m:oMath>
      <w:r>
        <w:rPr>
          <w:rFonts w:hint="eastAsia" w:hAnsi="Cambria Math" w:eastAsia="楷体"/>
          <w:i w:val="0"/>
          <w:sz w:val="24"/>
          <w:szCs w:val="24"/>
          <w:lang w:eastAsia="zh-CN"/>
        </w:rPr>
        <w:t>，</w:t>
      </w:r>
      <w:r>
        <w:rPr>
          <w:rFonts w:hint="eastAsia" w:hAnsi="Cambria Math" w:eastAsia="楷体"/>
          <w:i w:val="0"/>
          <w:sz w:val="24"/>
          <w:szCs w:val="24"/>
          <w:lang w:val="en-US" w:eastAsia="zh-CN"/>
        </w:rPr>
        <w:t>得</w:t>
      </w:r>
      <w:r>
        <w:rPr>
          <w:rFonts w:hint="eastAsia" w:ascii="楷体" w:hAnsi="楷体" w:eastAsia="楷体" w:cs="楷体"/>
          <w:lang w:val="en-US" w:eastAsia="zh-CN"/>
        </w:rPr>
        <w:t>转动光谱如下图所示：</w:t>
      </w:r>
    </w:p>
    <w:p w14:paraId="024E48D8">
      <w:pPr>
        <w:jc w:val="center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1979930" cy="2700020"/>
            <wp:effectExtent l="4445" t="4445" r="6350" b="1016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  <w:r>
        <w:drawing>
          <wp:inline distT="0" distB="0" distL="114300" distR="114300">
            <wp:extent cx="1978660" cy="2700020"/>
            <wp:effectExtent l="4445" t="5080" r="7620" b="9525"/>
            <wp:docPr id="4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5"/>
              </a:graphicData>
            </a:graphic>
          </wp:inline>
        </w:drawing>
      </w:r>
    </w:p>
    <w:p w14:paraId="72543762"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故CN更适合用于判断精确温度。</w:t>
      </w:r>
    </w:p>
    <w:p w14:paraId="750CFC94">
      <w:pPr>
        <w:rPr>
          <w:rFonts w:hint="eastAsia" w:ascii="宋体" w:hAnsi="宋体" w:eastAsia="宋体"/>
          <w:lang w:eastAsia="zh-CN"/>
        </w:rPr>
      </w:pPr>
    </w:p>
    <w:p w14:paraId="6D5691E8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5. 我们讨论的转动光谱均没有考虑任何展宽效应，因此看到的都是一组转动谱线。如果温度较高的时候，多普勒展宽会明显表现出来，当多普勒展宽的宽度达到谱线间隔的时候，转动光谱线组就变成一个大大的宽峰，失去分子的信息。对如上CH和CN两种自由基，请计算当星云的温度达到多少K的时候，转动光谱上分子的信息就丢失了？</w:t>
      </w:r>
    </w:p>
    <w:p w14:paraId="55133296">
      <w:pPr>
        <w:rPr>
          <w:rFonts w:hint="default" w:eastAsiaTheme="minor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谱线间距</w:t>
      </w:r>
      <w:r>
        <w:rPr>
          <w:rFonts w:hint="eastAsia" w:ascii="楷体" w:hAnsi="楷体" w:eastAsia="楷体" w:cs="楷体"/>
          <w:position w:val="-4"/>
          <w:lang w:val="en-US" w:eastAsia="zh-CN"/>
        </w:rPr>
        <w:object>
          <v:shape id="_x0000_i1050" o:spt="75" type="#_x0000_t75" style="height:16pt;width:46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0" DrawAspect="Content" ObjectID="_1468075754" r:id="rId66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</w:t>
      </w:r>
      <w:r>
        <w:rPr>
          <w:rFonts w:hint="eastAsia" w:ascii="楷体" w:hAnsi="楷体" w:eastAsia="楷体" w:cs="楷体"/>
          <w:position w:val="-12"/>
          <w:lang w:val="en-US" w:eastAsia="zh-CN"/>
        </w:rPr>
        <w:object>
          <v:shape id="_x0000_i1051" o:spt="75" type="#_x0000_t75" style="height:20pt;width:41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1" DrawAspect="Content" ObjectID="_1468075755" r:id="rId68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,多普勒展宽</w:t>
      </w:r>
      <w:r>
        <w:rPr>
          <w:rFonts w:hint="eastAsia" w:ascii="楷体" w:hAnsi="楷体" w:eastAsia="楷体" w:cs="楷体"/>
          <w:position w:val="-26"/>
          <w:lang w:val="en-US" w:eastAsia="zh-CN"/>
        </w:rPr>
        <w:object>
          <v:shape id="_x0000_i1052" o:spt="75" type="#_x0000_t75" style="height:35pt;width:190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2" DrawAspect="Content" ObjectID="_1468075756" r:id="rId70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，展宽等于谱线间隔时信息丢失，解得</w:t>
      </w:r>
      <w:r>
        <w:rPr>
          <w:rFonts w:hint="eastAsia" w:ascii="楷体" w:hAnsi="楷体" w:eastAsia="楷体" w:cs="楷体"/>
          <w:position w:val="-6"/>
          <w:lang w:val="en-US" w:eastAsia="zh-CN"/>
        </w:rPr>
        <w:object>
          <v:shape id="_x0000_i1053" o:spt="75" type="#_x0000_t75" style="height:16pt;width:193.9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3" DrawAspect="Content" ObjectID="_1468075757" r:id="rId72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4BCB8"/>
    <w:multiLevelType w:val="singleLevel"/>
    <w:tmpl w:val="8714BCB8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7A"/>
    <w:rsid w:val="000371EE"/>
    <w:rsid w:val="000627EE"/>
    <w:rsid w:val="0013547A"/>
    <w:rsid w:val="002A7F58"/>
    <w:rsid w:val="002D204B"/>
    <w:rsid w:val="007D6F7A"/>
    <w:rsid w:val="00881D4C"/>
    <w:rsid w:val="00D46B9E"/>
    <w:rsid w:val="00DD589B"/>
    <w:rsid w:val="00EF6312"/>
    <w:rsid w:val="0F562068"/>
    <w:rsid w:val="1ECC497E"/>
    <w:rsid w:val="227B255B"/>
    <w:rsid w:val="2CFB50FE"/>
    <w:rsid w:val="36677E39"/>
    <w:rsid w:val="50101DE9"/>
    <w:rsid w:val="5366448F"/>
    <w:rsid w:val="75BD2D58"/>
    <w:rsid w:val="7628316A"/>
    <w:rsid w:val="7E2A59DB"/>
    <w:rsid w:val="7E90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ing 1 Char"/>
    <w:basedOn w:val="1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Heading 2 Char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3 Char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4 Char"/>
    <w:basedOn w:val="16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Heading 5 Char"/>
    <w:basedOn w:val="16"/>
    <w:link w:val="6"/>
    <w:semiHidden/>
    <w:qFormat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2">
    <w:name w:val="Heading 6 Char"/>
    <w:basedOn w:val="16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Heading 7 Char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9 Char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Title Char"/>
    <w:basedOn w:val="16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6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6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5" Type="http://schemas.openxmlformats.org/officeDocument/2006/relationships/fontTable" Target="fontTable.xml"/><Relationship Id="rId74" Type="http://schemas.openxmlformats.org/officeDocument/2006/relationships/numbering" Target="numbering.xml"/><Relationship Id="rId73" Type="http://schemas.openxmlformats.org/officeDocument/2006/relationships/image" Target="media/image34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2.bin"/><Relationship Id="rId7" Type="http://schemas.openxmlformats.org/officeDocument/2006/relationships/image" Target="media/image2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0.bin"/><Relationship Id="rId65" Type="http://schemas.openxmlformats.org/officeDocument/2006/relationships/chart" Target="charts/chart3.xml"/><Relationship Id="rId64" Type="http://schemas.openxmlformats.org/officeDocument/2006/relationships/chart" Target="charts/chart2.xml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3.png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&#35874;&#38632;&#27905;\Desktop\&#21270;&#23398;\&#32467;&#26500;&#19982;&#35889;&#23398;\&#25105;&#24403;&#21161;&#25945;&#65311;&#30495;&#30340;&#20551;&#30340;&#65311;&#65311;&#65311;\&#20316;&#19994;&#31572;&#26696;\HF&#36716;&#21160;&#20809;&#35889;&#32447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&#35874;&#38632;&#27905;\Desktop\&#21270;&#23398;\&#32467;&#26500;&#19982;&#35889;&#23398;\&#25105;&#24403;&#21161;&#25945;&#65311;&#30495;&#30340;&#20551;&#30340;&#65311;&#65311;&#65311;\&#20316;&#19994;&#31572;&#26696;\CH&#21644;CN&#30340;&#36716;&#21160;&#20809;&#35889;&#24418;&#29366;%20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&#35874;&#38632;&#27905;\Desktop\&#21270;&#23398;\&#32467;&#26500;&#19982;&#35889;&#23398;\&#25105;&#24403;&#21161;&#25945;&#65311;&#30495;&#30340;&#20551;&#30340;&#65311;&#65311;&#65311;\&#20316;&#19994;&#31572;&#26696;\CH&#21644;CN&#30340;&#36716;&#21160;&#20809;&#35889;&#24418;&#29366;%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778113902406945"/>
          <c:y val="0.0509259259259259"/>
          <c:w val="0.894304879652769"/>
          <c:h val="0.83712962962963"/>
        </c:manualLayout>
      </c:layout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strRef>
              <c:f>[HF转动光谱线.xlsx]Sheet1!$A$1:$J$1</c:f>
              <c:strCache>
                <c:ptCount val="10"/>
                <c:pt idx="0">
                  <c:v>j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xVal>
          <c:yVal>
            <c:numRef>
              <c:f>[HF转动光谱线.xlsx]Sheet1!$A$2:$J$2</c:f>
              <c:numCache>
                <c:formatCode>General</c:formatCode>
                <c:ptCount val="10"/>
                <c:pt idx="1">
                  <c:v>41.1</c:v>
                </c:pt>
                <c:pt idx="2">
                  <c:v>40.96</c:v>
                </c:pt>
                <c:pt idx="3">
                  <c:v>40.86</c:v>
                </c:pt>
                <c:pt idx="4">
                  <c:v>40.62</c:v>
                </c:pt>
                <c:pt idx="5">
                  <c:v>40.32</c:v>
                </c:pt>
                <c:pt idx="6">
                  <c:v>40.08</c:v>
                </c:pt>
                <c:pt idx="7">
                  <c:v>39.64</c:v>
                </c:pt>
                <c:pt idx="8">
                  <c:v>39.28</c:v>
                </c:pt>
                <c:pt idx="9">
                  <c:v>38.9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4410773"/>
        <c:axId val="167259447"/>
      </c:scatterChart>
      <c:valAx>
        <c:axId val="32441077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7259447"/>
        <c:crosses val="autoZero"/>
        <c:crossBetween val="midCat"/>
      </c:valAx>
      <c:valAx>
        <c:axId val="167259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4410773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  <c:extLst>
      <c:ext uri="{0b15fc19-7d7d-44ad-8c2d-2c3a37ce22c3}">
        <chartProps xmlns="https://web.wps.cn/et/2018/main" chartId="{bcc35c03-f024-4952-b474-7f001c5a9262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CH</a:t>
            </a:r>
            <a:r>
              <a:rPr altLang="en-US"/>
              <a:t>转动光谱形状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567443019055922"/>
          <c:y val="0.178935185185185"/>
          <c:w val="0.911246730601569"/>
          <c:h val="0.710972222222222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'[CH和CN的转动光谱形状 .xlsx]Sheet1'!$B$1</c:f>
              <c:strCache>
                <c:ptCount val="1"/>
                <c:pt idx="0">
                  <c:v>CH布居数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'[CH和CN的转动光谱形状 .xlsx]Sheet1'!$A$2:$A$7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'[CH和CN的转动光谱形状 .xlsx]Sheet1'!$B$2:$B$7</c:f>
              <c:numCache>
                <c:formatCode>General</c:formatCode>
                <c:ptCount val="6"/>
                <c:pt idx="0">
                  <c:v>1</c:v>
                </c:pt>
                <c:pt idx="1">
                  <c:v>5.97779000213058e-7</c:v>
                </c:pt>
                <c:pt idx="2">
                  <c:v>3.95574422937707e-20</c:v>
                </c:pt>
                <c:pt idx="3">
                  <c:v>4.38141547431e-40</c:v>
                </c:pt>
                <c:pt idx="4">
                  <c:v>8.88048133234587e-67</c:v>
                </c:pt>
                <c:pt idx="5">
                  <c:v>3.40944492597509e-100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6"/>
        <c:overlap val="-28"/>
        <c:axId val="211788337"/>
        <c:axId val="91409962"/>
      </c:barChart>
      <c:catAx>
        <c:axId val="21178833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1409962"/>
        <c:crosses val="autoZero"/>
        <c:auto val="0"/>
        <c:lblAlgn val="ctr"/>
        <c:lblOffset val="100"/>
        <c:noMultiLvlLbl val="0"/>
      </c:catAx>
      <c:valAx>
        <c:axId val="9140996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178833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uri="{0b15fc19-7d7d-44ad-8c2d-2c3a37ce22c3}">
        <chartProps xmlns="https://web.wps.cn/et/2018/main" chartId="{9a0b8064-7ede-457d-a05a-a34afb833e61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CN</a:t>
            </a:r>
            <a:r>
              <a:rPr altLang="en-US"/>
              <a:t>转动光谱形状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'[CH和CN的转动光谱形状 .xlsx]Sheet1'!$C$1</c:f>
              <c:strCache>
                <c:ptCount val="1"/>
                <c:pt idx="0">
                  <c:v>CN布居数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'[CH和CN的转动光谱形状 .xlsx]Sheet1'!$A$2:$A$7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'[CH和CN的转动光谱形状 .xlsx]Sheet1'!$C$2:$C$7</c:f>
              <c:numCache>
                <c:formatCode>General</c:formatCode>
                <c:ptCount val="6"/>
                <c:pt idx="0">
                  <c:v>1</c:v>
                </c:pt>
                <c:pt idx="1">
                  <c:v>0.395080279985221</c:v>
                </c:pt>
                <c:pt idx="2">
                  <c:v>0.0114198999429218</c:v>
                </c:pt>
                <c:pt idx="3">
                  <c:v>3.65159521177768e-5</c:v>
                </c:pt>
                <c:pt idx="4">
                  <c:v>1.41215865122116e-8</c:v>
                </c:pt>
                <c:pt idx="5">
                  <c:v>6.83682018125142e-13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6"/>
        <c:overlap val="-28"/>
        <c:axId val="211788337"/>
        <c:axId val="91409962"/>
      </c:barChart>
      <c:catAx>
        <c:axId val="21178833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1409962"/>
        <c:crosses val="autoZero"/>
        <c:auto val="1"/>
        <c:lblAlgn val="ctr"/>
        <c:lblOffset val="100"/>
        <c:noMultiLvlLbl val="0"/>
      </c:catAx>
      <c:valAx>
        <c:axId val="9140996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178833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uri="{0b15fc19-7d7d-44ad-8c2d-2c3a37ce22c3}">
        <chartProps xmlns="https://web.wps.cn/et/2018/main" chartId="{9a0b8064-7ede-457d-a05a-a34afb833e61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101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964</Words>
  <Characters>1152</Characters>
  <Lines>5</Lines>
  <Paragraphs>1</Paragraphs>
  <TotalTime>15</TotalTime>
  <ScaleCrop>false</ScaleCrop>
  <LinksUpToDate>false</LinksUpToDate>
  <CharactersWithSpaces>1165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2025-03-21T01:45:00Z</dcterms:created>
  <dc:creator>海明 朱</dc:creator>
  <cp:lastModifiedBy>今夕何夕</cp:lastModifiedBy>
  <dcterms:modified xsi:type="dcterms:W3CDTF">2025-04-02T12:10:15Z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eyJoZGlkIjoiM2FiZDIzMjBhYjY3YjcwYmIxYWI1NjM4YzVmYjEyMDMiLCJ1c2VySWQiOiI5MjAzMzQ1ODcifQ==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785154E70E5C4F0FB50BA9D1E76F3655_12</vt:lpwstr>
  </property>
</Properties>
</file>