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报告日期：2026-08-20</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与两套核查工具（Windows VBScript 版、麒麟 Bash 版）逐项比对，共核对 113 个编号检查项。已实现 73 项，部分实现 38 项，未实现 2 项，自动化覆盖率 64.6%。</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已实现</w:t>
            </w:r>
          </w:p>
        </w:tc>
        <w:tc>
          <w:tcPr>
            <w:tcW w:type="dxa" w:w="2880"/>
          </w:tcPr>
          <w:p>
            <w:r>
              <w:rPr>
                <w:rFonts w:ascii="Times New Roman" w:hAnsi="Times New Roman" w:eastAsia="宋体"/>
                <w:b w:val="0"/>
                <w:sz w:val="21"/>
              </w:rPr>
              <w:t>73</w:t>
            </w:r>
          </w:p>
        </w:tc>
        <w:tc>
          <w:tcPr>
            <w:tcW w:type="dxa" w:w="2880"/>
          </w:tcPr>
          <w:p>
            <w:r>
              <w:rPr>
                <w:rFonts w:ascii="Times New Roman" w:hAnsi="Times New Roman" w:eastAsia="宋体"/>
                <w:b w:val="0"/>
                <w:sz w:val="21"/>
              </w:rPr>
              <w:t>64.6%</w:t>
            </w:r>
          </w:p>
        </w:tc>
      </w:tr>
      <w:tr>
        <w:tc>
          <w:tcPr>
            <w:tcW w:type="dxa" w:w="2880"/>
          </w:tcPr>
          <w:p>
            <w:r>
              <w:rPr>
                <w:rFonts w:ascii="Times New Roman" w:hAnsi="Times New Roman" w:eastAsia="宋体"/>
                <w:b w:val="0"/>
                <w:sz w:val="21"/>
              </w:rPr>
              <w:t>部分实现</w:t>
            </w:r>
          </w:p>
        </w:tc>
        <w:tc>
          <w:tcPr>
            <w:tcW w:type="dxa" w:w="2880"/>
          </w:tcPr>
          <w:p>
            <w:r>
              <w:rPr>
                <w:rFonts w:ascii="Times New Roman" w:hAnsi="Times New Roman" w:eastAsia="宋体"/>
                <w:b w:val="0"/>
                <w:sz w:val="21"/>
              </w:rPr>
              <w:t>38</w:t>
            </w:r>
          </w:p>
        </w:tc>
        <w:tc>
          <w:tcPr>
            <w:tcW w:type="dxa" w:w="2880"/>
          </w:tcPr>
          <w:p>
            <w:r>
              <w:rPr>
                <w:rFonts w:ascii="Times New Roman" w:hAnsi="Times New Roman" w:eastAsia="宋体"/>
                <w:b w:val="0"/>
                <w:sz w:val="21"/>
              </w:rPr>
              <w:t>33.6%</w:t>
            </w:r>
          </w:p>
        </w:tc>
      </w:tr>
      <w:tr>
        <w:tc>
          <w:tcPr>
            <w:tcW w:type="dxa" w:w="2880"/>
          </w:tcPr>
          <w:p>
            <w:r>
              <w:rPr>
                <w:rFonts w:ascii="Times New Roman" w:hAnsi="Times New Roman" w:eastAsia="宋体"/>
                <w:b w:val="0"/>
                <w:sz w:val="21"/>
              </w:rPr>
              <w:t>未实现</w:t>
            </w:r>
          </w:p>
        </w:tc>
        <w:tc>
          <w:tcPr>
            <w:tcW w:type="dxa" w:w="2880"/>
          </w:tcPr>
          <w:p>
            <w:r>
              <w:rPr>
                <w:rFonts w:ascii="Times New Roman" w:hAnsi="Times New Roman" w:eastAsia="宋体"/>
                <w:b w:val="0"/>
                <w:sz w:val="21"/>
              </w:rPr>
              <w:t>2</w:t>
            </w:r>
          </w:p>
        </w:tc>
        <w:tc>
          <w:tcPr>
            <w:tcW w:type="dxa" w:w="2880"/>
          </w:tcPr>
          <w:p>
            <w:r>
              <w:rPr>
                <w:rFonts w:ascii="Times New Roman" w:hAnsi="Times New Roman" w:eastAsia="宋体"/>
                <w:b w:val="0"/>
                <w:sz w:val="21"/>
              </w:rPr>
              <w:t>1.8%</w:t>
            </w:r>
          </w:p>
        </w:tc>
      </w:tr>
    </w:tbl>
    <w:p>
      <w:pPr>
        <w:spacing w:line="360" w:lineRule="auto"/>
        <w:ind w:firstLine="420"/>
      </w:pPr>
      <w:r>
        <w:rPr>
          <w:rFonts w:ascii="Times New Roman" w:hAnsi="Times New Roman" w:eastAsia="宋体"/>
          <w:b w:val="0"/>
          <w:sz w:val="21"/>
        </w:rPr>
        <w:t>部分实现项主要落在数据安全、应用安全两章，以及第 6 至 9 章的现场与文档类检查。</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章、113 个编号检查项。</w:t>
      </w:r>
    </w:p>
    <w:p>
      <w:pPr>
        <w:pStyle w:val="ListBullet"/>
      </w:pPr>
      <w:r>
        <w:rPr>
          <w:rFonts w:ascii="Times New Roman" w:hAnsi="Times New Roman" w:eastAsia="宋体"/>
          <w:b w:val="0"/>
          <w:sz w:val="21"/>
        </w:rPr>
        <w:t>核查工具：14 个脚本。操作系统核查 2 个（Windows、麒麟各 1），数据库与中间件核查 12 个，覆盖 MySQL、Redis、达梦 DM、SQL Server、Nginx、Tomcat，Windows 与麒麟各 6。</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提取全部编号检查项，从各脚本源码提取检查结果记录点，按编号逐项比对。检查项在脚本里的实现状态，以脚本输出的判定结果（合格/不合格/需人工确认）为准。</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已实现</w:t>
            </w:r>
          </w:p>
        </w:tc>
        <w:tc>
          <w:tcPr>
            <w:tcW w:type="dxa" w:w="4320"/>
          </w:tcPr>
          <w:p>
            <w:r>
              <w:rPr>
                <w:rFonts w:ascii="Times New Roman" w:hAnsi="Times New Roman" w:eastAsia="宋体"/>
                <w:b w:val="0"/>
                <w:sz w:val="21"/>
              </w:rPr>
              <w:t>Windows 与麒麟脚本均覆盖该项，且脚本能自动给出合格或不合格判定</w:t>
            </w:r>
          </w:p>
        </w:tc>
      </w:tr>
      <w:tr>
        <w:tc>
          <w:tcPr>
            <w:tcW w:type="dxa" w:w="4320"/>
          </w:tcPr>
          <w:p>
            <w:r>
              <w:rPr>
                <w:rFonts w:ascii="Times New Roman" w:hAnsi="Times New Roman" w:eastAsia="宋体"/>
                <w:b w:val="0"/>
                <w:sz w:val="21"/>
              </w:rPr>
              <w:t>部分实现</w:t>
            </w:r>
          </w:p>
        </w:tc>
        <w:tc>
          <w:tcPr>
            <w:tcW w:type="dxa" w:w="4320"/>
          </w:tcPr>
          <w:p>
            <w:r>
              <w:rPr>
                <w:rFonts w:ascii="Times New Roman" w:hAnsi="Times New Roman" w:eastAsia="宋体"/>
                <w:b w:val="0"/>
                <w:sz w:val="21"/>
              </w:rPr>
              <w:t>仅单平台覆盖；或脚本虽覆盖但结论需人工确认</w:t>
            </w:r>
          </w:p>
        </w:tc>
      </w:tr>
      <w:tr>
        <w:tc>
          <w:tcPr>
            <w:tcW w:type="dxa" w:w="4320"/>
          </w:tcPr>
          <w:p>
            <w:r>
              <w:rPr>
                <w:rFonts w:ascii="Times New Roman" w:hAnsi="Times New Roman" w:eastAsia="宋体"/>
                <w:b w:val="0"/>
                <w:sz w:val="21"/>
              </w:rPr>
              <w:t>未实现</w:t>
            </w:r>
          </w:p>
        </w:tc>
        <w:tc>
          <w:tcPr>
            <w:tcW w:type="dxa" w:w="4320"/>
          </w:tcPr>
          <w:p>
            <w:r>
              <w:rPr>
                <w:rFonts w:ascii="Times New Roman" w:hAnsi="Times New Roman" w:eastAsia="宋体"/>
                <w:b w:val="0"/>
                <w:sz w:val="21"/>
              </w:rPr>
              <w:t>无任何脚本覆盖该项</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已实现</w:t>
            </w:r>
          </w:p>
        </w:tc>
        <w:tc>
          <w:tcPr>
            <w:tcW w:type="dxa" w:w="1728"/>
          </w:tcPr>
          <w:p>
            <w:r>
              <w:rPr>
                <w:rFonts w:ascii="Times New Roman" w:hAnsi="Times New Roman" w:eastAsia="宋体"/>
                <w:b/>
                <w:sz w:val="21"/>
              </w:rPr>
              <w:t>部分实现</w:t>
            </w:r>
          </w:p>
        </w:tc>
        <w:tc>
          <w:tcPr>
            <w:tcW w:type="dxa" w:w="1728"/>
          </w:tcPr>
          <w:p>
            <w:r>
              <w:rPr>
                <w:rFonts w:ascii="Times New Roman" w:hAnsi="Times New Roman" w:eastAsia="宋体"/>
                <w:b/>
                <w:sz w:val="21"/>
              </w:rPr>
              <w:t>未实现</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1</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3</w:t>
            </w:r>
          </w:p>
        </w:tc>
        <w:tc>
          <w:tcPr>
            <w:tcW w:type="dxa" w:w="1728"/>
          </w:tcPr>
          <w:p>
            <w:r>
              <w:rPr>
                <w:rFonts w:ascii="Times New Roman" w:hAnsi="Times New Roman" w:eastAsia="宋体"/>
                <w:b w:val="0"/>
                <w:sz w:val="21"/>
              </w:rPr>
              <w:t>1</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指导书缺项</w:t>
      </w:r>
    </w:p>
    <w:p>
      <w:pPr>
        <w:spacing w:line="360" w:lineRule="auto"/>
        <w:ind w:firstLine="420"/>
      </w:pPr>
      <w:r>
        <w:rPr>
          <w:rFonts w:ascii="Times New Roman" w:hAnsi="Times New Roman" w:eastAsia="宋体"/>
          <w:b w:val="0"/>
          <w:sz w:val="21"/>
        </w:rPr>
        <w:t>指导书 v2.2 的第 5 章「网络安全」只有一句「目前无网络设备」的占位，23 个检查项未纳入本次验证范围。</w:t>
      </w:r>
    </w:p>
    <w:p>
      <w:pPr>
        <w:pStyle w:val="Heading3"/>
        <w:spacing w:before="160" w:after="120"/>
      </w:pPr>
      <w:r>
        <w:rPr>
          <w:rFonts w:ascii="Times New Roman" w:hAnsi="Times New Roman" w:eastAsia="黑体"/>
          <w:b/>
          <w:color w:val="000000"/>
          <w:sz w:val="24"/>
        </w:rPr>
        <w:t>5.2 部分实现项的原因分布</w:t>
      </w:r>
    </w:p>
    <w:p>
      <w:pPr>
        <w:spacing w:line="360" w:lineRule="auto"/>
        <w:ind w:firstLine="420"/>
      </w:pPr>
      <w:r>
        <w:rPr>
          <w:rFonts w:ascii="Times New Roman" w:hAnsi="Times New Roman" w:eastAsia="宋体"/>
          <w:b w:val="0"/>
          <w:sz w:val="21"/>
        </w:rPr>
        <w:t>共 38 项为部分实现，按原因分布如下：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双平台覆盖，结论需人工确认</w:t>
            </w:r>
          </w:p>
        </w:tc>
        <w:tc>
          <w:tcPr>
            <w:tcW w:type="dxa" w:w="4320"/>
          </w:tcPr>
          <w:p>
            <w:r>
              <w:rPr>
                <w:rFonts w:ascii="Times New Roman" w:hAnsi="Times New Roman" w:eastAsia="宋体"/>
                <w:b w:val="0"/>
                <w:sz w:val="21"/>
              </w:rPr>
              <w:t>38</w:t>
            </w:r>
          </w:p>
        </w:tc>
      </w:tr>
    </w:tbl>
    <w:p>
      <w:pPr>
        <w:pStyle w:val="Heading3"/>
        <w:spacing w:before="160" w:after="120"/>
      </w:pPr>
      <w:r>
        <w:rPr>
          <w:rFonts w:ascii="Times New Roman" w:hAnsi="Times New Roman" w:eastAsia="黑体"/>
          <w:b/>
          <w:color w:val="000000"/>
          <w:sz w:val="24"/>
        </w:rPr>
        <w:t>5.3 部分实现项的整改性质</w:t>
      </w:r>
    </w:p>
    <w:p>
      <w:pPr>
        <w:spacing w:line="360" w:lineRule="auto"/>
        <w:ind w:firstLine="420"/>
      </w:pPr>
      <w:r>
        <w:rPr>
          <w:rFonts w:ascii="Times New Roman" w:hAnsi="Times New Roman" w:eastAsia="宋体"/>
          <w:b w:val="0"/>
          <w:sz w:val="21"/>
        </w:rPr>
        <w:t>这 38 项部分实现，一半本来就只能靠人工，脚本标 manual 是合理的；另一半理论上还能自动化，只是受环境限制。</w:t>
      </w:r>
    </w:p>
    <w:p>
      <w:pPr>
        <w:spacing w:line="360" w:lineRule="auto"/>
        <w:ind w:firstLine="420"/>
      </w:pPr>
      <w:r>
        <w:rPr>
          <w:rFonts w:ascii="Times New Roman" w:hAnsi="Times New Roman" w:eastAsia="宋体"/>
          <w:b w:val="0"/>
          <w:sz w:val="21"/>
        </w:rPr>
        <w:t>只能人工的：第 6 至 9 章（物理、组织、制度、管理）22 项，要到机房看设备台账、翻组织文件、核对制度版本和演练记录。第 3 章的 3.4 载体销毁、3.12 采集范围、3.14 大数据管控，涉及物理销毁和业务范围比对。第 4 章的 4.9、4.10、4.13、4.20、4.26、4.27、4.28、4.29、4.31，多是应用层或代码级能力，得靠渗透测试、代码审计或现场台账。再有第 1 章的 1.16、1.27，第 2 章的 2.3，需要代码审计或采购凭证。</w:t>
      </w:r>
    </w:p>
    <w:p>
      <w:pPr>
        <w:spacing w:line="360" w:lineRule="auto"/>
        <w:ind w:firstLine="420"/>
      </w:pPr>
      <w:r>
        <w:rPr>
          <w:rFonts w:ascii="Times New Roman" w:hAnsi="Times New Roman" w:eastAsia="宋体"/>
          <w:b w:val="0"/>
          <w:sz w:val="21"/>
        </w:rPr>
        <w:t>还能自动化的：第 3 章的 3.1、3.7、3.9、3.13，Windows 侧已能测 BitLocker 和 HTTPS 端口，数据库 TDE、SSL 连接因为要登录数据库才标 manual。第 4 章的 4.1、4.2、4.3、4.4、4.7、4.11、4.14、4.19、4.30，检测命令已经补了，只在没部署相应服务时才标 manual。</w:t>
      </w:r>
    </w:p>
    <w:p>
      <w:pPr>
        <w:spacing w:line="360" w:lineRule="auto"/>
        <w:ind w:firstLine="420"/>
      </w:pPr>
      <w:r>
        <w:rPr>
          <w:rFonts w:ascii="Times New Roman" w:hAnsi="Times New Roman" w:eastAsia="宋体"/>
          <w:b w:val="0"/>
          <w:sz w:val="21"/>
        </w:rPr>
        <w:t>2.3 应用口令、3.6 边界防泄漏这两项，脚本只标了「不适用」，实际没做任何核查，本次按未实现算。</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下一步几件事。先把第 5 章「网络安全」的检查项补进指导书，再跑一遍本验证。第 4 章里依赖代码审计和渗透测试的项（4.9、4.10、4.26、4.27、4.28），补上 WAF 和代码扫描工具。第 6 至 9 章这类只能人工的，脚本就只提供检查清单和记录模板，留给人填。2.3 应用口令、3.6 边界防泄漏目前是空的，最该先补。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