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报告日期：2026-09-10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与自动化核查工具（Windows VBScript 版、麒麟 Bash 版、网络设备核查 check_network.sh）逐项比对，共核对 136 个编号检查项。已实现 86 项，部分实现 50 项，未实现 0 项，自动化覆盖率 63.2%。</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已实现</w:t>
            </w:r>
          </w:p>
        </w:tc>
        <w:tc>
          <w:tcPr>
            <w:tcW w:type="dxa" w:w="2880"/>
          </w:tcPr>
          <w:p>
            <w:r>
              <w:rPr>
                <w:rFonts w:ascii="Times New Roman" w:hAnsi="Times New Roman" w:eastAsia="宋体"/>
                <w:b w:val="0"/>
                <w:sz w:val="21"/>
              </w:rPr>
              <w:t>86</w:t>
            </w:r>
          </w:p>
        </w:tc>
        <w:tc>
          <w:tcPr>
            <w:tcW w:type="dxa" w:w="2880"/>
          </w:tcPr>
          <w:p>
            <w:r>
              <w:rPr>
                <w:rFonts w:ascii="Times New Roman" w:hAnsi="Times New Roman" w:eastAsia="宋体"/>
                <w:b w:val="0"/>
                <w:sz w:val="21"/>
              </w:rPr>
              <w:t>63.2%</w:t>
            </w:r>
          </w:p>
        </w:tc>
      </w:tr>
      <w:tr>
        <w:tc>
          <w:tcPr>
            <w:tcW w:type="dxa" w:w="2880"/>
          </w:tcPr>
          <w:p>
            <w:r>
              <w:rPr>
                <w:rFonts w:ascii="Times New Roman" w:hAnsi="Times New Roman" w:eastAsia="宋体"/>
                <w:b w:val="0"/>
                <w:sz w:val="21"/>
              </w:rPr>
              <w:t>部分实现</w:t>
            </w:r>
          </w:p>
        </w:tc>
        <w:tc>
          <w:tcPr>
            <w:tcW w:type="dxa" w:w="2880"/>
          </w:tcPr>
          <w:p>
            <w:r>
              <w:rPr>
                <w:rFonts w:ascii="Times New Roman" w:hAnsi="Times New Roman" w:eastAsia="宋体"/>
                <w:b w:val="0"/>
                <w:sz w:val="21"/>
              </w:rPr>
              <w:t>50</w:t>
            </w:r>
          </w:p>
        </w:tc>
        <w:tc>
          <w:tcPr>
            <w:tcW w:type="dxa" w:w="2880"/>
          </w:tcPr>
          <w:p>
            <w:r>
              <w:rPr>
                <w:rFonts w:ascii="Times New Roman" w:hAnsi="Times New Roman" w:eastAsia="宋体"/>
                <w:b w:val="0"/>
                <w:sz w:val="21"/>
              </w:rPr>
              <w:t>36.8%</w:t>
            </w:r>
          </w:p>
        </w:tc>
      </w:tr>
      <w:tr>
        <w:tc>
          <w:tcPr>
            <w:tcW w:type="dxa" w:w="2880"/>
          </w:tcPr>
          <w:p>
            <w:r>
              <w:rPr>
                <w:rFonts w:ascii="Times New Roman" w:hAnsi="Times New Roman" w:eastAsia="宋体"/>
                <w:b w:val="0"/>
                <w:sz w:val="21"/>
              </w:rPr>
              <w:t>未实现</w:t>
            </w:r>
          </w:p>
        </w:tc>
        <w:tc>
          <w:tcPr>
            <w:tcW w:type="dxa" w:w="2880"/>
          </w:tcPr>
          <w:p>
            <w:r>
              <w:rPr>
                <w:rFonts w:ascii="Times New Roman" w:hAnsi="Times New Roman" w:eastAsia="宋体"/>
                <w:b w:val="0"/>
                <w:sz w:val="21"/>
              </w:rPr>
              <w:t>0</w:t>
            </w:r>
          </w:p>
        </w:tc>
        <w:tc>
          <w:tcPr>
            <w:tcW w:type="dxa" w:w="2880"/>
          </w:tcPr>
          <w:p>
            <w:r>
              <w:rPr>
                <w:rFonts w:ascii="Times New Roman" w:hAnsi="Times New Roman" w:eastAsia="宋体"/>
                <w:b w:val="0"/>
                <w:sz w:val="21"/>
              </w:rPr>
              <w:t>0.0%</w:t>
            </w:r>
          </w:p>
        </w:tc>
      </w:tr>
    </w:tbl>
    <w:p>
      <w:pPr>
        <w:spacing w:line="360" w:lineRule="auto"/>
        <w:ind w:firstLine="420"/>
      </w:pPr>
      <w:r>
        <w:rPr>
          <w:rFonts w:ascii="Times New Roman" w:hAnsi="Times New Roman" w:eastAsia="宋体"/>
          <w:b w:val="0"/>
          <w:sz w:val="21"/>
        </w:rPr>
        <w:t>部分实现项主要落在数据安全、应用安全两章、第 5 章的台账类检查，以及第 6 至 9 章的现场与文档类检查。</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个编号检查项（交付包内的 v2.0.1 为同内容版本，另含第 5 章 13 张终端操作截图）。</w:t>
      </w:r>
    </w:p>
    <w:p>
      <w:pPr>
        <w:pStyle w:val="ListBullet"/>
      </w:pPr>
      <w:r>
        <w:rPr>
          <w:rFonts w:ascii="Times New Roman" w:hAnsi="Times New Roman" w:eastAsia="宋体"/>
          <w:b w:val="0"/>
          <w:sz w:val="21"/>
        </w:rPr>
        <w:t>核查工具：15 个脚本。操作系统核查 2 个（Windows、麒麟各 1），数据库与中间件核查 12 个（MySQL、Redis、达梦 DM、SQL Server、Nginx、Tomcat，两平台各 6），网络设备核查 1 个（麒麟版 check_network.sh，采集-解析模式，覆盖第 5 章 23 项）。</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提取全部编号检查项，从各脚本源码提取检查结果记录点，按编号逐项比对。检查项在脚本里的实现状态，以脚本输出的判定结果（合格/不合格/需人工确认）为准。</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已实现</w:t>
            </w:r>
          </w:p>
        </w:tc>
        <w:tc>
          <w:tcPr>
            <w:tcW w:type="dxa" w:w="4320"/>
          </w:tcPr>
          <w:p>
            <w:r>
              <w:rPr>
                <w:rFonts w:ascii="Times New Roman" w:hAnsi="Times New Roman" w:eastAsia="宋体"/>
                <w:b w:val="0"/>
                <w:sz w:val="21"/>
              </w:rPr>
              <w:t>Windows 与麒麟脚本均覆盖该项，且脚本能自动给出合格或不合格判定</w:t>
            </w:r>
          </w:p>
        </w:tc>
      </w:tr>
      <w:tr>
        <w:tc>
          <w:tcPr>
            <w:tcW w:type="dxa" w:w="4320"/>
          </w:tcPr>
          <w:p>
            <w:r>
              <w:rPr>
                <w:rFonts w:ascii="Times New Roman" w:hAnsi="Times New Roman" w:eastAsia="宋体"/>
                <w:b w:val="0"/>
                <w:sz w:val="21"/>
              </w:rPr>
              <w:t>已实现（第 5 章网络设备项）</w:t>
            </w:r>
          </w:p>
        </w:tc>
        <w:tc>
          <w:tcPr>
            <w:tcW w:type="dxa" w:w="4320"/>
          </w:tcPr>
          <w:p>
            <w:r>
              <w:rPr>
                <w:rFonts w:ascii="Times New Roman" w:hAnsi="Times New Roman" w:eastAsia="宋体"/>
                <w:b w:val="0"/>
                <w:sz w:val="21"/>
              </w:rPr>
              <w:t>网络设备为独立硬件，不区分双平台；check_network.sh 覆盖该项且能自动给出判定结论（设备回显由运维现场采集后粘贴）</w:t>
            </w:r>
          </w:p>
        </w:tc>
      </w:tr>
      <w:tr>
        <w:tc>
          <w:tcPr>
            <w:tcW w:type="dxa" w:w="4320"/>
          </w:tcPr>
          <w:p>
            <w:r>
              <w:rPr>
                <w:rFonts w:ascii="Times New Roman" w:hAnsi="Times New Roman" w:eastAsia="宋体"/>
                <w:b w:val="0"/>
                <w:sz w:val="21"/>
              </w:rPr>
              <w:t>部分实现</w:t>
            </w:r>
          </w:p>
        </w:tc>
        <w:tc>
          <w:tcPr>
            <w:tcW w:type="dxa" w:w="4320"/>
          </w:tcPr>
          <w:p>
            <w:r>
              <w:rPr>
                <w:rFonts w:ascii="Times New Roman" w:hAnsi="Times New Roman" w:eastAsia="宋体"/>
                <w:b w:val="0"/>
                <w:sz w:val="21"/>
              </w:rPr>
              <w:t>仅单平台覆盖；或脚本虽覆盖但结论需人工确认</w:t>
            </w:r>
          </w:p>
        </w:tc>
      </w:tr>
      <w:tr>
        <w:tc>
          <w:tcPr>
            <w:tcW w:type="dxa" w:w="4320"/>
          </w:tcPr>
          <w:p>
            <w:r>
              <w:rPr>
                <w:rFonts w:ascii="Times New Roman" w:hAnsi="Times New Roman" w:eastAsia="宋体"/>
                <w:b w:val="0"/>
                <w:sz w:val="21"/>
              </w:rPr>
              <w:t>未实现</w:t>
            </w:r>
          </w:p>
        </w:tc>
        <w:tc>
          <w:tcPr>
            <w:tcW w:type="dxa" w:w="4320"/>
          </w:tcPr>
          <w:p>
            <w:r>
              <w:rPr>
                <w:rFonts w:ascii="Times New Roman" w:hAnsi="Times New Roman" w:eastAsia="宋体"/>
                <w:b w:val="0"/>
                <w:sz w:val="21"/>
              </w:rPr>
              <w:t>无任何脚本覆盖该项</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已实现</w:t>
            </w:r>
          </w:p>
        </w:tc>
        <w:tc>
          <w:tcPr>
            <w:tcW w:type="dxa" w:w="1728"/>
          </w:tcPr>
          <w:p>
            <w:r>
              <w:rPr>
                <w:rFonts w:ascii="Times New Roman" w:hAnsi="Times New Roman" w:eastAsia="宋体"/>
                <w:b/>
                <w:sz w:val="21"/>
              </w:rPr>
              <w:t>部分实现</w:t>
            </w:r>
          </w:p>
        </w:tc>
        <w:tc>
          <w:tcPr>
            <w:tcW w:type="dxa" w:w="1728"/>
          </w:tcPr>
          <w:p>
            <w:r>
              <w:rPr>
                <w:rFonts w:ascii="Times New Roman" w:hAnsi="Times New Roman" w:eastAsia="宋体"/>
                <w:b/>
                <w:sz w:val="21"/>
              </w:rPr>
              <w:t>未实现</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脚本提取部分信号（型号/存储网/端口闲置率），结论需台账比对</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check_network.sh 自动判定（设备回显采集后自动给出结论）</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审批/台账/平台类核查，需人工确认</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脚本提取部分信号（型号/存储网/端口闲置率），结论需台账比对</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网络设备（check_network.sh）</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脚本提取部分信号（型号/存储网/端口闲置率），结论需台账比对</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指导书缺项</w:t>
      </w:r>
    </w:p>
    <w:p>
      <w:pPr>
        <w:spacing w:line="360" w:lineRule="auto"/>
        <w:ind w:firstLine="420"/>
      </w:pPr>
      <w:r>
        <w:rPr>
          <w:rFonts w:ascii="Times New Roman" w:hAnsi="Times New Roman" w:eastAsia="宋体"/>
          <w:b w:val="0"/>
          <w:sz w:val="21"/>
        </w:rPr>
        <w:t>第 5 章「网络安全」23 项：指导书已按核查表补写小节（23 节、133 段方法），脚本侧为 check_network.sh（采集-解析模式：init 生成华为/华三/锐捷三厂商命令清单模板，运维陪同登录设备采集回显后 check 解析判定）。23 项分三类：设备命令回显类 11 项（5.3 至 5.8、5.10、5.11、5.16、5.18、5.19）脚本自动判定，记为已实现；5.9 异构部署、5.22 存储网分离、5.23 配备合理性 3 项，脚本可提取部分信号（设备型号、存储网划分、端口闲置率），结论需台账比对；其余 9 项（5.1、5.2、5.12 至 5.15、5.17、5.20、5.21）为审批记录、方案文档与平台界面类核查，需人工确认。该划分与核查表第 13 列「工具自动验证」的标注一一对应。</w:t>
      </w:r>
    </w:p>
    <w:p>
      <w:pPr>
        <w:pStyle w:val="Heading3"/>
        <w:spacing w:before="160" w:after="120"/>
      </w:pPr>
      <w:r>
        <w:rPr>
          <w:rFonts w:ascii="Times New Roman" w:hAnsi="Times New Roman" w:eastAsia="黑体"/>
          <w:b/>
          <w:color w:val="000000"/>
          <w:sz w:val="24"/>
        </w:rPr>
        <w:t>5.2 部分实现项的原因分布</w:t>
      </w:r>
    </w:p>
    <w:p>
      <w:pPr>
        <w:spacing w:line="360" w:lineRule="auto"/>
        <w:ind w:firstLine="420"/>
      </w:pPr>
      <w:r>
        <w:rPr>
          <w:rFonts w:ascii="Times New Roman" w:hAnsi="Times New Roman" w:eastAsia="宋体"/>
          <w:b w:val="0"/>
          <w:sz w:val="21"/>
        </w:rPr>
        <w:t>共 50 项为部分实现，按原因分布如下：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双平台覆盖，结论需人工确认</w:t>
            </w:r>
          </w:p>
        </w:tc>
        <w:tc>
          <w:tcPr>
            <w:tcW w:type="dxa" w:w="4320"/>
          </w:tcPr>
          <w:p>
            <w:r>
              <w:rPr>
                <w:rFonts w:ascii="Times New Roman" w:hAnsi="Times New Roman" w:eastAsia="宋体"/>
                <w:b w:val="0"/>
                <w:sz w:val="21"/>
              </w:rPr>
              <w:t>38</w:t>
            </w:r>
          </w:p>
        </w:tc>
      </w:tr>
      <w:tr>
        <w:tc>
          <w:tcPr>
            <w:tcW w:type="dxa" w:w="4320"/>
          </w:tcPr>
          <w:p>
            <w:r>
              <w:rPr>
                <w:rFonts w:ascii="Times New Roman" w:hAnsi="Times New Roman" w:eastAsia="宋体"/>
                <w:b w:val="0"/>
                <w:sz w:val="21"/>
              </w:rPr>
              <w:t>审批/台账/平台类核查，需人工确认</w:t>
            </w:r>
          </w:p>
        </w:tc>
        <w:tc>
          <w:tcPr>
            <w:tcW w:type="dxa" w:w="4320"/>
          </w:tcPr>
          <w:p>
            <w:r>
              <w:rPr>
                <w:rFonts w:ascii="Times New Roman" w:hAnsi="Times New Roman" w:eastAsia="宋体"/>
                <w:b w:val="0"/>
                <w:sz w:val="21"/>
              </w:rPr>
              <w:t>9</w:t>
            </w:r>
          </w:p>
        </w:tc>
      </w:tr>
      <w:tr>
        <w:tc>
          <w:tcPr>
            <w:tcW w:type="dxa" w:w="4320"/>
          </w:tcPr>
          <w:p>
            <w:r>
              <w:rPr>
                <w:rFonts w:ascii="Times New Roman" w:hAnsi="Times New Roman" w:eastAsia="宋体"/>
                <w:b w:val="0"/>
                <w:sz w:val="21"/>
              </w:rPr>
              <w:t>脚本提取部分信号（型号/存储网/端口闲置率），结论需台账比对</w:t>
            </w:r>
          </w:p>
        </w:tc>
        <w:tc>
          <w:tcPr>
            <w:tcW w:type="dxa" w:w="4320"/>
          </w:tcPr>
          <w:p>
            <w:r>
              <w:rPr>
                <w:rFonts w:ascii="Times New Roman" w:hAnsi="Times New Roman" w:eastAsia="宋体"/>
                <w:b w:val="0"/>
                <w:sz w:val="21"/>
              </w:rPr>
              <w:t>3</w:t>
            </w:r>
          </w:p>
        </w:tc>
      </w:tr>
    </w:tbl>
    <w:p>
      <w:pPr>
        <w:pStyle w:val="Heading3"/>
        <w:spacing w:before="160" w:after="120"/>
      </w:pPr>
      <w:r>
        <w:rPr>
          <w:rFonts w:ascii="Times New Roman" w:hAnsi="Times New Roman" w:eastAsia="黑体"/>
          <w:b/>
          <w:color w:val="000000"/>
          <w:sz w:val="24"/>
        </w:rPr>
        <w:t>5.3 部分实现项的整改性质</w:t>
      </w:r>
    </w:p>
    <w:p>
      <w:pPr>
        <w:spacing w:line="360" w:lineRule="auto"/>
        <w:ind w:firstLine="420"/>
      </w:pPr>
      <w:r>
        <w:rPr>
          <w:rFonts w:ascii="Times New Roman" w:hAnsi="Times New Roman" w:eastAsia="宋体"/>
          <w:b w:val="0"/>
          <w:sz w:val="21"/>
        </w:rPr>
        <w:t>这 50 项部分实现，一半本来就只能靠人工，脚本标 manual 是合理的；另一半理论上还能自动化，只是受环境限制。</w:t>
      </w:r>
    </w:p>
    <w:p>
      <w:pPr>
        <w:spacing w:line="360" w:lineRule="auto"/>
        <w:ind w:firstLine="420"/>
      </w:pPr>
      <w:r>
        <w:rPr>
          <w:rFonts w:ascii="Times New Roman" w:hAnsi="Times New Roman" w:eastAsia="宋体"/>
          <w:b w:val="0"/>
          <w:sz w:val="21"/>
        </w:rPr>
        <w:t>只能人工的：第 6 至 9 章（物理、组织、制度、管理）22 项，要到机房看设备台账、翻组织文件、核对制度版本和演练记录。第 5 章的 5.1、5.2、5.12 至 5.15、5.17、5.20、5.21 共 9 项，是跨网审批单、方案文档与平台界面类核查。第 3 章的 3.4 载体销毁、3.12 采集范围、3.14 大数据管控，涉及物理销毁和业务范围比对。第 4 章的 4.9、4.10、4.13、4.20、4.26、4.27、4.28、4.29、4.31，多是应用层或代码级能力，得靠渗透测试、代码审计或现场台账。再有第 1 章的 1.16、1.27，需要代码审计或采购凭证。</w:t>
      </w:r>
    </w:p>
    <w:p>
      <w:pPr>
        <w:spacing w:line="360" w:lineRule="auto"/>
        <w:ind w:firstLine="420"/>
      </w:pPr>
      <w:r>
        <w:rPr>
          <w:rFonts w:ascii="Times New Roman" w:hAnsi="Times New Roman" w:eastAsia="宋体"/>
          <w:b w:val="0"/>
          <w:sz w:val="21"/>
        </w:rPr>
        <w:t>还能自动化的：第 3 章的 3.1、3.7、3.9、3.13，Windows 侧已能测 BitLocker 和 HTTPS 端口，数据库 TDE、SSL 连接因为要登录数据库才标 manual。第 4 章的 4.1、4.2、4.3、4.4、4.7、4.11、4.14、4.19、4.30，检测命令已经补了，只在没部署相应服务时才标 manual。</w:t>
      </w:r>
    </w:p>
    <w:p>
      <w:pPr>
        <w:spacing w:line="360" w:lineRule="auto"/>
        <w:ind w:firstLine="420"/>
      </w:pPr>
      <w:r>
        <w:rPr>
          <w:rFonts w:ascii="Times New Roman" w:hAnsi="Times New Roman" w:eastAsia="宋体"/>
          <w:b w:val="0"/>
          <w:sz w:val="21"/>
        </w:rPr>
        <w:t>2.3 应用口令、3.6 边界防泄漏此前仅标「不适用」，本轮已补真实检测：2.3 核查空口令账户与图形界面自动登录（/etc/shadow、lightdm/sddm/gdm、注册表 AutoAdminLogon/LimitBlankPasswordUse），3.6 按 3.6.3(3) 核查终端 DLP/管控客户端联动（进程、安装包、卸载注册表）。</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下一步几件事。第 5 章上真机核查时，用 check_network.sh init 生成采集清单，运维陪同采集回显后跑 check 出报告；遇到解析不出的回显格式，把回显片段补进特征匹配。第 4 章里依赖代码审计和渗透测试的项（4.9、4.10、4.26、4.27、4.28），补上 WAF 和代码扫描工具。第 6 至 9 章和第 5 章台账类这类只能人工的，用人工核查台（manual_check.html）逐项记录、粘贴取证截图并导出报告。2.3 应用口令、3.6 边界防泄漏已完成补测，136 项全部有核查工具覆盖（自动判定或人工路径）。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