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与自动化核查工具（Windows VBScript 版、麒麟 Bash 版、网络设备核查 check_network.sh）逐项比对，共核对 136 个编号检查项。以「脚本是否实际执行核查」为判定标准，结合核查表勾选矩阵（√ 适用 / — 不适用）逐对象核对脚本能力：可自动化 61 项，部分可自动化 30 项，需人工 45 项，自动化覆盖率 44.9%。</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可自动化</w:t>
            </w:r>
          </w:p>
        </w:tc>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44.9%</w:t>
            </w:r>
          </w:p>
        </w:tc>
      </w:tr>
      <w:tr>
        <w:tc>
          <w:tcPr>
            <w:tcW w:type="dxa" w:w="2880"/>
          </w:tcPr>
          <w:p>
            <w:r>
              <w:rPr>
                <w:rFonts w:ascii="Times New Roman" w:hAnsi="Times New Roman" w:eastAsia="宋体"/>
                <w:b w:val="0"/>
                <w:sz w:val="21"/>
              </w:rPr>
              <w:t>部分可自动化</w:t>
            </w:r>
          </w:p>
        </w:tc>
        <w:tc>
          <w:tcPr>
            <w:tcW w:type="dxa" w:w="2880"/>
          </w:tcPr>
          <w:p>
            <w:r>
              <w:rPr>
                <w:rFonts w:ascii="Times New Roman" w:hAnsi="Times New Roman" w:eastAsia="宋体"/>
                <w:b w:val="0"/>
                <w:sz w:val="21"/>
              </w:rPr>
              <w:t>30</w:t>
            </w:r>
          </w:p>
        </w:tc>
        <w:tc>
          <w:tcPr>
            <w:tcW w:type="dxa" w:w="2880"/>
          </w:tcPr>
          <w:p>
            <w:r>
              <w:rPr>
                <w:rFonts w:ascii="Times New Roman" w:hAnsi="Times New Roman" w:eastAsia="宋体"/>
                <w:b w:val="0"/>
                <w:sz w:val="21"/>
              </w:rPr>
              <w:t>22.1%</w:t>
            </w:r>
          </w:p>
        </w:tc>
      </w:tr>
      <w:tr>
        <w:tc>
          <w:tcPr>
            <w:tcW w:type="dxa" w:w="2880"/>
          </w:tcPr>
          <w:p>
            <w:r>
              <w:rPr>
                <w:rFonts w:ascii="Times New Roman" w:hAnsi="Times New Roman" w:eastAsia="宋体"/>
                <w:b w:val="0"/>
                <w:sz w:val="21"/>
              </w:rPr>
              <w:t>需人工</w:t>
            </w:r>
          </w:p>
        </w:tc>
        <w:tc>
          <w:tcPr>
            <w:tcW w:type="dxa" w:w="2880"/>
          </w:tcPr>
          <w:p>
            <w:r>
              <w:rPr>
                <w:rFonts w:ascii="Times New Roman" w:hAnsi="Times New Roman" w:eastAsia="宋体"/>
                <w:b w:val="0"/>
                <w:sz w:val="21"/>
              </w:rPr>
              <w:t>45</w:t>
            </w:r>
          </w:p>
        </w:tc>
        <w:tc>
          <w:tcPr>
            <w:tcW w:type="dxa" w:w="2880"/>
          </w:tcPr>
          <w:p>
            <w:r>
              <w:rPr>
                <w:rFonts w:ascii="Times New Roman" w:hAnsi="Times New Roman" w:eastAsia="宋体"/>
                <w:b w:val="0"/>
                <w:sz w:val="21"/>
              </w:rPr>
              <w:t>33.1%</w:t>
            </w:r>
          </w:p>
        </w:tc>
      </w:tr>
    </w:tbl>
    <w:p>
      <w:pPr>
        <w:spacing w:line="360" w:lineRule="auto"/>
        <w:ind w:firstLine="420"/>
      </w:pPr>
      <w:r>
        <w:rPr>
          <w:rFonts w:ascii="Times New Roman" w:hAnsi="Times New Roman" w:eastAsia="宋体"/>
          <w:b w:val="0"/>
          <w:sz w:val="21"/>
        </w:rPr>
        <w:t>部分可自动化 30 项均为脚本已执行核查但存在边界：部分适用对象仅提示或未检测 12 项、部分对象采集证据后结论需人工 12 项、网络设备部分信号需台账比对 5 项、版本采集比对 1 项。需人工 45 项为脚本未执行该项核查的条目（第 1-4 章 17 项、第 5 章台账/平台类 6 项、第 6-9 章现场文档类 22 项）。</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个编号检查项（交付包内的 v2.0.1 为同内容版本，另含第 5 章 13 张终端操作截图）。</w:t>
      </w:r>
    </w:p>
    <w:p>
      <w:pPr>
        <w:pStyle w:val="ListBullet"/>
      </w:pPr>
      <w:r>
        <w:rPr>
          <w:rFonts w:ascii="Times New Roman" w:hAnsi="Times New Roman" w:eastAsia="宋体"/>
          <w:b w:val="0"/>
          <w:sz w:val="21"/>
        </w:rPr>
        <w:t>核查工具：16 个脚本。操作系统核查 2 个（Windows、麒麟各 1），数据库与中间件核查 12 个（MySQL、Redis、达梦 DM、SQL Server、Nginx、Tomcat，两平台各 6），网络设备核查 2 个（麒麟 check_network.sh 与 Windows check_network.ps1，采集-解析模式、判定逻辑一致、采集文件通用，覆盖第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提取全部编号检查项，从各脚本源码提取检查结果记录点。每项的适用对象以核查表勾选矩阵为准（√ 适用 / — 不适用）：Windows/WinXP 对应 check_xp7.vbs、中标/银河麒麟对应 check_kylin.sh、各数据库与中间件对应双平台组件脚本、网络设备对应 check_network.sh。「脚本是否实际执行核查」以脚本源码的检测分支与结果详情为依据：有自动判定（合格/不合格），或执行检测命令并输出采集结果（结论留人工确认）的，均属已核查；仅输出方法提示、未执行任何检测的，属未核查。</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该项在核查表中勾选的全部适用对象，核查脚本均能自动给出合格或不合格判定</w:t>
            </w:r>
          </w:p>
        </w:tc>
      </w:tr>
      <w:t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脚本已执行核查但存在边界：仅覆盖部分适用对象或一侧平台，或采集证据后结论需人工确认</w:t>
            </w:r>
          </w:p>
        </w:tc>
      </w:tr>
      <w:tr>
        <w:tc>
          <w:tcPr>
            <w:tcW w:type="dxa" w:w="4320"/>
          </w:tcPr>
          <w:p>
            <w:r>
              <w:rPr>
                <w:rFonts w:ascii="Times New Roman" w:hAnsi="Times New Roman" w:eastAsia="宋体"/>
                <w:b w:val="0"/>
                <w:sz w:val="21"/>
              </w:rPr>
              <w:t>需人工</w:t>
            </w:r>
          </w:p>
        </w:tc>
        <w:tc>
          <w:tcPr>
            <w:tcW w:type="dxa" w:w="4320"/>
          </w:tcPr>
          <w:p>
            <w:r>
              <w:rPr>
                <w:rFonts w:ascii="Times New Roman" w:hAnsi="Times New Roman" w:eastAsia="宋体"/>
                <w:b w:val="0"/>
                <w:sz w:val="21"/>
              </w:rPr>
              <w:t>脚本未执行该项核查（仅输出指导书方法提示或无覆盖），需人工完成</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可自动化</w:t>
            </w:r>
          </w:p>
        </w:tc>
        <w:tc>
          <w:tcPr>
            <w:tcW w:type="dxa" w:w="1728"/>
          </w:tcPr>
          <w:p>
            <w:r>
              <w:rPr>
                <w:rFonts w:ascii="Times New Roman" w:hAnsi="Times New Roman" w:eastAsia="宋体"/>
                <w:b/>
                <w:sz w:val="21"/>
              </w:rPr>
              <w:t>部分可自动化</w:t>
            </w:r>
          </w:p>
        </w:tc>
        <w:tc>
          <w:tcPr>
            <w:tcW w:type="dxa" w:w="1728"/>
          </w:tcPr>
          <w:p>
            <w:r>
              <w:rPr>
                <w:rFonts w:ascii="Times New Roman" w:hAnsi="Times New Roman" w:eastAsia="宋体"/>
                <w:b/>
                <w:sz w:val="21"/>
              </w:rPr>
              <w:t>需人工</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7</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11</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6</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Windows、麒麟、Nginx、Tomcat、MySQL、SQL Server、Redis 自动判定；达梦 脚本采集证据、结论需人工</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MySQL、SQL Server、Redis 自动判定；达梦 脚本采集证据、结论需人工</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MySQL、SQL Server、达梦</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MySQL、达梦、Redis 自动判定；SQL Server 未检测需人工</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MySQL、SQL Server 自动判定；达梦、Redis 未检测需人工</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 自动判定；SQL Server、达梦、Redis 未检测需人工</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脚本采集版本与授权状态，正版/定制认定需人工核对采购凭证（核查表未设行）</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Windows、麒麟、MySQL、SQL Server、Redis 自动判定；达梦 脚本采集证据、结论需人工</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脚本采集证据、结论需人工；Windows 未检测需人工</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自动判定；Windows 未检测需人工</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脚本采集证据、结论需人工</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提取设备型号，异构部署结论需比对台账</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识别网络层加密，加密层次组合需按方案人工核对</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核对防火墙会话表比对跨域通道，隔离方式与等级对应需人工核查</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识别网络层加密，链路层/信源层加密需按方案人工核对</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提取存储网/业务网 VLAN 划分信号，结论需比对台账</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脚本自动核查 TLS/SSH 协议版本（协议层条目，勾选矩阵未单列对象）</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网络安全（第 5 章）</w:t>
      </w:r>
    </w:p>
    <w:p>
      <w:pPr>
        <w:spacing w:line="360" w:lineRule="auto"/>
        <w:ind w:firstLine="420"/>
      </w:pPr>
      <w:r>
        <w:rPr>
          <w:rFonts w:ascii="Times New Roman" w:hAnsi="Times New Roman" w:eastAsia="宋体"/>
          <w:b w:val="0"/>
          <w:sz w:val="21"/>
        </w:rPr>
        <w:t>第 5 章 23 项分三类：设备命令回显类 12 项（5.3 至 5.8、5.10、5.11、5.16、5.18、5.19、5.23，其中 5.23 为端口闲置率自动判定）由 check_network.sh 自动判定；5 项脚本采集部分信号、结论需人工（5.9 设备型号、5.12/5.17 IKE SA 网络层加密、5.14 防火墙会话表、5.22 VLAN 划分）；6 项为审批记录、管理平台与方案文档类（5.1、5.2、5.13、5.15、5.20、5.21），脚本未执行检测。该划分与核查表第 13 列「工具自动验证」标注一一对应。</w:t>
      </w:r>
    </w:p>
    <w:p>
      <w:pPr>
        <w:pStyle w:val="Heading3"/>
        <w:spacing w:before="160" w:after="120"/>
      </w:pPr>
      <w:r>
        <w:rPr>
          <w:rFonts w:ascii="Times New Roman" w:hAnsi="Times New Roman" w:eastAsia="黑体"/>
          <w:b/>
          <w:color w:val="000000"/>
          <w:sz w:val="24"/>
        </w:rPr>
        <w:t>5.2 部分可自动化项的原因分布</w:t>
      </w:r>
    </w:p>
    <w:p>
      <w:pPr>
        <w:spacing w:line="360" w:lineRule="auto"/>
        <w:ind w:firstLine="420"/>
      </w:pPr>
      <w:r>
        <w:rPr>
          <w:rFonts w:ascii="Times New Roman" w:hAnsi="Times New Roman" w:eastAsia="宋体"/>
          <w:b w:val="0"/>
          <w:sz w:val="21"/>
        </w:rPr>
        <w:t>共 30 项为部分可自动化，按原因分布如下：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原因类别</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部分适用对象采集证据需人工</w:t>
            </w:r>
          </w:p>
        </w:tc>
        <w:tc>
          <w:tcPr>
            <w:tcW w:type="dxa" w:w="4320"/>
          </w:tcPr>
          <w:p>
            <w:r>
              <w:rPr>
                <w:rFonts w:ascii="Times New Roman" w:hAnsi="Times New Roman" w:eastAsia="宋体"/>
                <w:b w:val="0"/>
                <w:sz w:val="21"/>
              </w:rPr>
              <w:t>12</w:t>
            </w:r>
          </w:p>
        </w:tc>
      </w:tr>
      <w:tr>
        <w:tc>
          <w:tcPr>
            <w:tcW w:type="dxa" w:w="4320"/>
          </w:tcPr>
          <w:p>
            <w:r>
              <w:rPr>
                <w:rFonts w:ascii="Times New Roman" w:hAnsi="Times New Roman" w:eastAsia="宋体"/>
                <w:b w:val="0"/>
                <w:sz w:val="21"/>
              </w:rPr>
              <w:t>部分适用对象仅提示或未检测</w:t>
            </w:r>
          </w:p>
        </w:tc>
        <w:tc>
          <w:tcPr>
            <w:tcW w:type="dxa" w:w="4320"/>
          </w:tcPr>
          <w:p>
            <w:r>
              <w:rPr>
                <w:rFonts w:ascii="Times New Roman" w:hAnsi="Times New Roman" w:eastAsia="宋体"/>
                <w:b w:val="0"/>
                <w:sz w:val="21"/>
              </w:rPr>
              <w:t>12</w:t>
            </w:r>
          </w:p>
        </w:tc>
      </w:tr>
      <w:tr>
        <w:tc>
          <w:tcPr>
            <w:tcW w:type="dxa" w:w="4320"/>
          </w:tcPr>
          <w:p>
            <w:r>
              <w:rPr>
                <w:rFonts w:ascii="Times New Roman" w:hAnsi="Times New Roman" w:eastAsia="宋体"/>
                <w:b w:val="0"/>
                <w:sz w:val="21"/>
              </w:rPr>
              <w:t>网络设备部分信号+台账比对</w:t>
            </w:r>
          </w:p>
        </w:tc>
        <w:tc>
          <w:tcPr>
            <w:tcW w:type="dxa" w:w="4320"/>
          </w:tcPr>
          <w:p>
            <w:r>
              <w:rPr>
                <w:rFonts w:ascii="Times New Roman" w:hAnsi="Times New Roman" w:eastAsia="宋体"/>
                <w:b w:val="0"/>
                <w:sz w:val="21"/>
              </w:rPr>
              <w:t>5</w:t>
            </w:r>
          </w:p>
        </w:tc>
      </w:tr>
      <w:tr>
        <w:tc>
          <w:tcPr>
            <w:tcW w:type="dxa" w:w="4320"/>
          </w:tcPr>
          <w:p>
            <w:r>
              <w:rPr>
                <w:rFonts w:ascii="Times New Roman" w:hAnsi="Times New Roman" w:eastAsia="宋体"/>
                <w:b w:val="0"/>
                <w:sz w:val="21"/>
              </w:rPr>
              <w:t>脚本采集证据、结论需人工</w:t>
            </w:r>
          </w:p>
        </w:tc>
        <w:tc>
          <w:tcPr>
            <w:tcW w:type="dxa" w:w="4320"/>
          </w:tcPr>
          <w:p>
            <w:r>
              <w:rPr>
                <w:rFonts w:ascii="Times New Roman" w:hAnsi="Times New Roman" w:eastAsia="宋体"/>
                <w:b w:val="0"/>
                <w:sz w:val="21"/>
              </w:rPr>
              <w:t>1</w:t>
            </w:r>
          </w:p>
        </w:tc>
      </w:tr>
    </w:tbl>
    <w:p>
      <w:pPr>
        <w:pStyle w:val="Heading3"/>
        <w:spacing w:before="160" w:after="120"/>
      </w:pPr>
      <w:r>
        <w:rPr>
          <w:rFonts w:ascii="Times New Roman" w:hAnsi="Times New Roman" w:eastAsia="黑体"/>
          <w:b/>
          <w:color w:val="000000"/>
          <w:sz w:val="24"/>
        </w:rPr>
        <w:t>5.3 需人工项的构成</w:t>
      </w:r>
    </w:p>
    <w:p>
      <w:pPr>
        <w:spacing w:line="360" w:lineRule="auto"/>
        <w:ind w:firstLine="420"/>
      </w:pPr>
      <w:r>
        <w:rPr>
          <w:rFonts w:ascii="Times New Roman" w:hAnsi="Times New Roman" w:eastAsia="宋体"/>
          <w:b w:val="0"/>
          <w:sz w:val="21"/>
        </w:rPr>
        <w:t>共 45 项需人工：第 6 至 9 章（物理、组织、制度、管理）22 项，要到机房看设备台账、翻组织文件、核对制度版本和演练记录；第 5 章台账/平台类 6 项，是跨网审批单、方案文档与管理平台界面核查；第 1-4 章 17 项，其中应用层代码能力 8 项（1.16 输入参数校验、4.9、4.10、4.15、4.20、4.21、4.26 至 4.29）需渗透测试、代码审计或 WAF 工具，物理过程与文档台账比对 9 项（1.13、1.22、3.4、3.12、3.14、4.5、4.13 等）需人工核对业务架构、销毁档案与边界设备。</w:t>
      </w:r>
    </w:p>
    <w:p>
      <w:pPr>
        <w:spacing w:line="360" w:lineRule="auto"/>
        <w:ind w:firstLine="420"/>
      </w:pPr>
      <w:r>
        <w:rPr>
          <w:rFonts w:ascii="Times New Roman" w:hAnsi="Times New Roman" w:eastAsia="宋体"/>
          <w:b w:val="0"/>
          <w:sz w:val="21"/>
        </w:rPr>
        <w:t>部分可自动化 30 项里，12 项存在适用对象仅提示或未检测（麒麟侧 1.25、2.8、2.15、4.12、4.23、4.24，Windows 侧 4.31，组件侧 1.20、1.21、4.1，跨对象 1.24），后续补齐对应判定分支即可转可自动化；其余为采集证据后结论本需人工比对（达梦版本比对、备份有效性验证、网络设备台账比对等），属合理边界。本报告仅核对脚本现状，未改动任何脚本代码。</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下一步几件事。第 5 章上真机核查时，用 check_network.sh init 生成采集清单，运维陪同采集回显后跑 check 出报告；遇到解析不出的回显格式，把回显片段补进特征匹配。需人工的 45 项用人工核查台（manual_check.html）逐项记录、粘贴取证截图并导出报告。如需提升自动化率，可补齐一侧平台与组件对象的判定分支（约 10 项可转可自动化），补齐前以本报告口径为准。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