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配置核查作业指导书与自动化核查工具交叉验证报告</w:t>
      </w:r>
    </w:p>
    <w:p>
      <w:pPr>
        <w:spacing w:line="360" w:lineRule="auto"/>
        <w:ind w:firstLine="420"/>
      </w:pPr>
      <w:r>
        <w:rPr>
          <w:rFonts w:ascii="Times New Roman" w:hAnsi="Times New Roman" w:eastAsia="宋体"/>
          <w:b w:val="0"/>
          <w:sz w:val="21"/>
        </w:rPr>
        <w:t>报告日期：2026-09-10</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依据《配置核查作业指导书》v2.2（10 章、136 个编号检查项），对自动化核查工具逐项交叉验证，核查表的检查项、适用对象与工具核查能力逐项对齐，结果如下：</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纳入工具核查</w:t>
            </w:r>
          </w:p>
        </w:tc>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69.1%</w:t>
            </w:r>
          </w:p>
        </w:tc>
      </w:tr>
      <w:tr>
        <w:tc>
          <w:tcPr>
            <w:tcW w:type="dxa" w:w="2880"/>
          </w:tcPr>
          <w:p>
            <w:r>
              <w:rPr>
                <w:rFonts w:ascii="Times New Roman" w:hAnsi="Times New Roman" w:eastAsia="宋体"/>
                <w:b w:val="0"/>
                <w:sz w:val="21"/>
              </w:rPr>
              <w:t>其中：可自动化（工具直接给出合格/不合格判定）</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c>
          <w:tcPr>
            <w:tcW w:type="dxa" w:w="2880"/>
          </w:tcPr>
          <w:p>
            <w:r>
              <w:rPr>
                <w:rFonts w:ascii="Times New Roman" w:hAnsi="Times New Roman" w:eastAsia="宋体"/>
                <w:b w:val="0"/>
                <w:sz w:val="21"/>
              </w:rPr>
              <w:t>其中：部分可自动化（脚本已核查，结论需结合台账或现场确认）</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c>
          <w:tcPr>
            <w:tcW w:type="dxa" w:w="2880"/>
          </w:tcPr>
          <w:p>
            <w:r>
              <w:rPr>
                <w:rFonts w:ascii="Times New Roman" w:hAnsi="Times New Roman" w:eastAsia="宋体"/>
                <w:b w:val="0"/>
                <w:sz w:val="21"/>
              </w:rPr>
              <w:t>人工核查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420"/>
      </w:pPr>
      <w:r>
        <w:rPr>
          <w:rFonts w:ascii="Times New Roman" w:hAnsi="Times New Roman" w:eastAsia="宋体"/>
          <w:b w:val="0"/>
          <w:sz w:val="21"/>
        </w:rPr>
        <w:t>全部 136 个检查项中，94 项的核查由工具执行：其中 43 项工具直接给出合格或不合格判定，51 项脚本已执行核查、需结合设备台账或现场情况确认最终结论。其余 42 项按标准要求属现场查看、文档调阅与实测验证类，由人工按同一套判定规则完成并留存证据。</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章、136 个编号检查项。</w:t>
      </w:r>
    </w:p>
    <w:p>
      <w:pPr>
        <w:pStyle w:val="ListBullet"/>
      </w:pPr>
      <w:r>
        <w:rPr>
          <w:rFonts w:ascii="Times New Roman" w:hAnsi="Times New Roman" w:eastAsia="宋体"/>
          <w:b w:val="0"/>
          <w:sz w:val="21"/>
        </w:rPr>
        <w:t>核查工具：16 个脚本。操作系统核查 2 个（Windows、麒麟各 1）；数据库与中间件核查 12 个（MySQL、Redis、达梦、SQL Server、Nginx、Tomcat，两平台各 6）；网络设备核查 2 个（麒麟版与 Windows 版，采集-解析模式，判定逻辑与采集文件通用，覆盖第 5 章 23 项）。</w:t>
      </w:r>
    </w:p>
    <w:p>
      <w:pPr>
        <w:pStyle w:val="ListBullet"/>
      </w:pPr>
      <w:r>
        <w:rPr>
          <w:rFonts w:ascii="Times New Roman" w:hAnsi="Times New Roman" w:eastAsia="宋体"/>
          <w:b w:val="0"/>
          <w:sz w:val="21"/>
        </w:rPr>
        <w:t>工具的组成、部署方式与使用方法见《配置核查工具包》README。</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从指导书提取全部编号检查项，逐项确定适用对象（操作系统、数据库、中间件、网络设备），再逐对象核对脚本的核查能力。能力判定以脚本源码的检测分支与结果输出为依据：能够给出合格或不合格判定的，列为可自动化；执行检测命令并输出核查结果、结论需结合台账或现场确认的，列为部分可自动化；其余按标准要求需现场查看、文档调阅与实测验证的，列为需人工核查。</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该检查项适用的全部对象，脚本均可自动给出合格或不合格判定</w:t>
            </w:r>
          </w:p>
        </w:tc>
      </w:tr>
      <w:t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脚本已执行核查，受核查对象或结论性质所限，需结合设备台账或现场情况确认最终结论</w:t>
            </w:r>
          </w:p>
        </w:tc>
      </w:tr>
      <w:tr>
        <w:tc>
          <w:tcPr>
            <w:tcW w:type="dxa" w:w="4320"/>
          </w:tcPr>
          <w:p>
            <w:r>
              <w:rPr>
                <w:rFonts w:ascii="Times New Roman" w:hAnsi="Times New Roman" w:eastAsia="宋体"/>
                <w:b w:val="0"/>
                <w:sz w:val="21"/>
              </w:rPr>
              <w:t>需人工核查</w:t>
            </w:r>
          </w:p>
        </w:tc>
        <w:tc>
          <w:tcPr>
            <w:tcW w:type="dxa" w:w="4320"/>
          </w:tcPr>
          <w:p>
            <w:r>
              <w:rPr>
                <w:rFonts w:ascii="Times New Roman" w:hAnsi="Times New Roman" w:eastAsia="宋体"/>
                <w:b w:val="0"/>
                <w:sz w:val="21"/>
              </w:rPr>
              <w:t>现场查看、文档调阅、实测验证类检查项，由人工按指导书方法完成并留存证据</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可自动化</w:t>
            </w:r>
          </w:p>
        </w:tc>
        <w:tc>
          <w:tcPr>
            <w:tcW w:type="dxa" w:w="1728"/>
          </w:tcPr>
          <w:p>
            <w:r>
              <w:rPr>
                <w:rFonts w:ascii="Times New Roman" w:hAnsi="Times New Roman" w:eastAsia="宋体"/>
                <w:b/>
                <w:sz w:val="21"/>
              </w:rPr>
              <w:t>部分可自动化</w:t>
            </w:r>
          </w:p>
        </w:tc>
        <w:tc>
          <w:tcPr>
            <w:tcW w:type="dxa" w:w="1728"/>
          </w:tcPr>
          <w:p>
            <w:r>
              <w:rPr>
                <w:rFonts w:ascii="Times New Roman" w:hAnsi="Times New Roman" w:eastAsia="宋体"/>
                <w:b/>
                <w:sz w:val="21"/>
              </w:rPr>
              <w:t>需人工核查</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四、逐项验证结果</w:t>
      </w:r>
    </w:p>
    <w:p>
      <w:pPr>
        <w:spacing w:line="360" w:lineRule="auto"/>
        <w:ind w:firstLine="420"/>
      </w:pPr>
      <w:r>
        <w:rPr>
          <w:rFonts w:ascii="Times New Roman" w:hAnsi="Times New Roman" w:eastAsia="宋体"/>
          <w:b w:val="0"/>
          <w:sz w:val="21"/>
        </w:rPr>
        <w:t>各章检查项及验证结论逐项列示如下；核查对象、所用脚本与结论依据见《配置核查表》第 14 列「工具自动验证」。</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1.1</w:t>
            </w:r>
          </w:p>
        </w:tc>
        <w:tc>
          <w:tcPr>
            <w:tcW w:type="dxa" w:w="2880"/>
          </w:tcPr>
          <w:p>
            <w:r>
              <w:rPr>
                <w:rFonts w:ascii="Times New Roman" w:hAnsi="Times New Roman" w:eastAsia="宋体"/>
                <w:b w:val="0"/>
                <w:sz w:val="21"/>
              </w:rPr>
              <w:t>操作系统、数据管理系统、中间件等平台软件应及时安装补丁程序</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w:t>
            </w:r>
          </w:p>
        </w:tc>
        <w:tc>
          <w:tcPr>
            <w:tcW w:type="dxa" w:w="2880"/>
          </w:tcPr>
          <w:p>
            <w:r>
              <w:rPr>
                <w:rFonts w:ascii="Times New Roman" w:hAnsi="Times New Roman" w:eastAsia="宋体"/>
                <w:b w:val="0"/>
                <w:sz w:val="21"/>
              </w:rPr>
              <w:t>操作系统应安装防病毒软件并及时升级</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1.3</w:t>
            </w:r>
          </w:p>
        </w:tc>
        <w:tc>
          <w:tcPr>
            <w:tcW w:type="dxa" w:w="2880"/>
          </w:tcPr>
          <w:p>
            <w:r>
              <w:rPr>
                <w:rFonts w:ascii="Times New Roman" w:hAnsi="Times New Roman" w:eastAsia="宋体"/>
                <w:b w:val="0"/>
                <w:sz w:val="21"/>
              </w:rPr>
              <w:t>操作系统应按需求裁剪服务和端口</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1.4</w:t>
            </w:r>
          </w:p>
        </w:tc>
        <w:tc>
          <w:tcPr>
            <w:tcW w:type="dxa" w:w="2880"/>
          </w:tcPr>
          <w:p>
            <w:r>
              <w:rPr>
                <w:rFonts w:ascii="Times New Roman" w:hAnsi="Times New Roman" w:eastAsia="宋体"/>
                <w:b w:val="0"/>
                <w:sz w:val="21"/>
              </w:rPr>
              <w:t>操作系应身有防火墙功能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1.5</w:t>
            </w:r>
          </w:p>
        </w:tc>
        <w:tc>
          <w:tcPr>
            <w:tcW w:type="dxa" w:w="2880"/>
          </w:tcPr>
          <w:p>
            <w:r>
              <w:rPr>
                <w:rFonts w:ascii="Times New Roman" w:hAnsi="Times New Roman" w:eastAsia="宋体"/>
                <w:b w:val="0"/>
                <w:sz w:val="21"/>
              </w:rPr>
              <w:t>操作系统应停用冗余网络设置</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1.6</w:t>
            </w:r>
          </w:p>
        </w:tc>
        <w:tc>
          <w:tcPr>
            <w:tcW w:type="dxa" w:w="2880"/>
          </w:tcPr>
          <w:p>
            <w:r>
              <w:rPr>
                <w:rFonts w:ascii="Times New Roman" w:hAnsi="Times New Roman" w:eastAsia="宋体"/>
                <w:b w:val="0"/>
                <w:sz w:val="21"/>
              </w:rPr>
              <w:t>操作系统远程管理应开放唯一管理服务,指定管理终端 并采取传输加密保护措施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1.7</w:t>
            </w:r>
          </w:p>
        </w:tc>
        <w:tc>
          <w:tcPr>
            <w:tcW w:type="dxa" w:w="2880"/>
          </w:tcPr>
          <w:p>
            <w:r>
              <w:rPr>
                <w:rFonts w:ascii="Times New Roman" w:hAnsi="Times New Roman" w:eastAsia="宋体"/>
                <w:b w:val="0"/>
                <w:sz w:val="21"/>
              </w:rPr>
              <w:t>数据库管理系统应删除冗余帐户,应设置不少于8个字符且字符采用字母大小写， 数字及特殊字符混合编制的账户口令</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1.8</w:t>
            </w:r>
          </w:p>
        </w:tc>
        <w:tc>
          <w:tcPr>
            <w:tcW w:type="dxa" w:w="2880"/>
          </w:tcPr>
          <w:p>
            <w:r>
              <w:rPr>
                <w:rFonts w:ascii="Times New Roman" w:hAnsi="Times New Roman" w:eastAsia="宋体"/>
                <w:b w:val="0"/>
                <w:sz w:val="21"/>
              </w:rPr>
              <w:t>数据库管理系统应删除冗余存储过程</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1.9</w:t>
            </w:r>
          </w:p>
        </w:tc>
        <w:tc>
          <w:tcPr>
            <w:tcW w:type="dxa" w:w="2880"/>
          </w:tcPr>
          <w:p>
            <w:r>
              <w:rPr>
                <w:rFonts w:ascii="Times New Roman" w:hAnsi="Times New Roman" w:eastAsia="宋体"/>
                <w:b w:val="0"/>
                <w:sz w:val="21"/>
              </w:rPr>
              <w:t>数据库管理系统应具有基于表级增删改查等细粒度访问和管理授权功能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1.10</w:t>
            </w:r>
          </w:p>
        </w:tc>
        <w:tc>
          <w:tcPr>
            <w:tcW w:type="dxa" w:w="2880"/>
          </w:tcPr>
          <w:p>
            <w:r>
              <w:rPr>
                <w:rFonts w:ascii="Times New Roman" w:hAnsi="Times New Roman" w:eastAsia="宋体"/>
                <w:b w:val="0"/>
                <w:sz w:val="21"/>
              </w:rPr>
              <w:t>数据库管理系统应具有自主访问控制功能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1.11</w:t>
            </w:r>
          </w:p>
        </w:tc>
        <w:tc>
          <w:tcPr>
            <w:tcW w:type="dxa" w:w="2880"/>
          </w:tcPr>
          <w:p>
            <w:r>
              <w:rPr>
                <w:rFonts w:ascii="Times New Roman" w:hAnsi="Times New Roman" w:eastAsia="宋体"/>
                <w:b w:val="0"/>
                <w:sz w:val="21"/>
              </w:rPr>
              <w:t>数据库管理系统应具有备份和恢复功能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1.12</w:t>
            </w:r>
          </w:p>
        </w:tc>
        <w:tc>
          <w:tcPr>
            <w:tcW w:type="dxa" w:w="2880"/>
          </w:tcPr>
          <w:p>
            <w:r>
              <w:rPr>
                <w:rFonts w:ascii="Times New Roman" w:hAnsi="Times New Roman" w:eastAsia="宋体"/>
                <w:b w:val="0"/>
                <w:sz w:val="21"/>
              </w:rPr>
              <w:t>数据库管理系统应具有表级审计、告警和阻断功能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1.13</w:t>
            </w:r>
          </w:p>
        </w:tc>
        <w:tc>
          <w:tcPr>
            <w:tcW w:type="dxa" w:w="2880"/>
          </w:tcPr>
          <w:p>
            <w:r>
              <w:rPr>
                <w:rFonts w:ascii="Times New Roman" w:hAnsi="Times New Roman" w:eastAsia="宋体"/>
                <w:b w:val="0"/>
                <w:sz w:val="21"/>
              </w:rPr>
              <w:t>数据库管理系统的数据应和其它应用的数据分类独立存储</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1.14</w:t>
            </w:r>
          </w:p>
        </w:tc>
        <w:tc>
          <w:tcPr>
            <w:tcW w:type="dxa" w:w="2880"/>
          </w:tcPr>
          <w:p>
            <w:r>
              <w:rPr>
                <w:rFonts w:ascii="Times New Roman" w:hAnsi="Times New Roman" w:eastAsia="宋体"/>
                <w:b w:val="0"/>
                <w:sz w:val="21"/>
              </w:rPr>
              <w:t>中间件应采取限制运行权限和使用安全管理通道等安全加固措施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1.15</w:t>
            </w:r>
          </w:p>
        </w:tc>
        <w:tc>
          <w:tcPr>
            <w:tcW w:type="dxa" w:w="2880"/>
          </w:tcPr>
          <w:p>
            <w:r>
              <w:rPr>
                <w:rFonts w:ascii="Times New Roman" w:hAnsi="Times New Roman" w:eastAsia="宋体"/>
                <w:b w:val="0"/>
                <w:sz w:val="21"/>
              </w:rPr>
              <w:t>应具备数据库管理系统超级管理员远程登录限制远程登陆限制能力</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1.16</w:t>
            </w:r>
          </w:p>
        </w:tc>
        <w:tc>
          <w:tcPr>
            <w:tcW w:type="dxa" w:w="2880"/>
          </w:tcPr>
          <w:p>
            <w:r>
              <w:rPr>
                <w:rFonts w:ascii="Times New Roman" w:hAnsi="Times New Roman" w:eastAsia="宋体"/>
                <w:b w:val="0"/>
                <w:sz w:val="21"/>
              </w:rPr>
              <w:t>应具备数据库管理系统输入（参数）检查能力</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1.17</w:t>
            </w:r>
          </w:p>
        </w:tc>
        <w:tc>
          <w:tcPr>
            <w:tcW w:type="dxa" w:w="2880"/>
          </w:tcPr>
          <w:p>
            <w:r>
              <w:rPr>
                <w:rFonts w:ascii="Times New Roman" w:hAnsi="Times New Roman" w:eastAsia="宋体"/>
                <w:b w:val="0"/>
                <w:sz w:val="21"/>
              </w:rPr>
              <w:t>应限制操作系统开放的远程管理服务或端口</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1.18</w:t>
            </w:r>
          </w:p>
        </w:tc>
        <w:tc>
          <w:tcPr>
            <w:tcW w:type="dxa" w:w="2880"/>
          </w:tcPr>
          <w:p>
            <w:r>
              <w:rPr>
                <w:rFonts w:ascii="Times New Roman" w:hAnsi="Times New Roman" w:eastAsia="宋体"/>
                <w:b w:val="0"/>
                <w:sz w:val="21"/>
              </w:rPr>
              <w:t>应限制用户对服务器资源的最大或最小使用限度</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1.19</w:t>
            </w:r>
          </w:p>
        </w:tc>
        <w:tc>
          <w:tcPr>
            <w:tcW w:type="dxa" w:w="2880"/>
          </w:tcPr>
          <w:p>
            <w:r>
              <w:rPr>
                <w:rFonts w:ascii="Times New Roman" w:hAnsi="Times New Roman" w:eastAsia="宋体"/>
                <w:b w:val="0"/>
                <w:sz w:val="21"/>
              </w:rPr>
              <w:t>应更换数据库管理系统的默认服务端口、管理员用户名和口令</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1.20</w:t>
            </w:r>
          </w:p>
        </w:tc>
        <w:tc>
          <w:tcPr>
            <w:tcW w:type="dxa" w:w="2880"/>
          </w:tcPr>
          <w:p>
            <w:r>
              <w:rPr>
                <w:rFonts w:ascii="Times New Roman" w:hAnsi="Times New Roman" w:eastAsia="宋体"/>
                <w:b w:val="0"/>
                <w:sz w:val="21"/>
              </w:rPr>
              <w:t>数据库管理系统应配置安全策略</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1.21</w:t>
            </w:r>
          </w:p>
        </w:tc>
        <w:tc>
          <w:tcPr>
            <w:tcW w:type="dxa" w:w="2880"/>
          </w:tcPr>
          <w:p>
            <w:r>
              <w:rPr>
                <w:rFonts w:ascii="Times New Roman" w:hAnsi="Times New Roman" w:eastAsia="宋体"/>
                <w:b w:val="0"/>
                <w:sz w:val="21"/>
              </w:rPr>
              <w:t>数据库管理系统应具有行级或列级审计功能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1.22</w:t>
            </w:r>
          </w:p>
        </w:tc>
        <w:tc>
          <w:tcPr>
            <w:tcW w:type="dxa" w:w="2880"/>
          </w:tcPr>
          <w:p>
            <w:r>
              <w:rPr>
                <w:rFonts w:ascii="Times New Roman" w:hAnsi="Times New Roman" w:eastAsia="宋体"/>
                <w:b w:val="0"/>
                <w:sz w:val="21"/>
              </w:rPr>
              <w:t>数据库管理系统应采取单独、安全监控、审计指施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1.23</w:t>
            </w:r>
          </w:p>
        </w:tc>
        <w:tc>
          <w:tcPr>
            <w:tcW w:type="dxa" w:w="2880"/>
          </w:tcPr>
          <w:p>
            <w:r>
              <w:rPr>
                <w:rFonts w:ascii="Times New Roman" w:hAnsi="Times New Roman" w:eastAsia="宋体"/>
                <w:b w:val="0"/>
                <w:sz w:val="21"/>
              </w:rPr>
              <w:t>数据库管理系统仅为应用服务器提供访问服务</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1.24</w:t>
            </w:r>
          </w:p>
        </w:tc>
        <w:tc>
          <w:tcPr>
            <w:tcW w:type="dxa" w:w="2880"/>
          </w:tcPr>
          <w:p>
            <w:r>
              <w:rPr>
                <w:rFonts w:ascii="Times New Roman" w:hAnsi="Times New Roman" w:eastAsia="宋体"/>
                <w:b w:val="0"/>
                <w:sz w:val="21"/>
              </w:rPr>
              <w:t>应具备日志审计能力，审计日志至少保留180天</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1.25</w:t>
            </w:r>
          </w:p>
        </w:tc>
        <w:tc>
          <w:tcPr>
            <w:tcW w:type="dxa" w:w="2880"/>
          </w:tcPr>
          <w:p>
            <w:r>
              <w:rPr>
                <w:rFonts w:ascii="Times New Roman" w:hAnsi="Times New Roman" w:eastAsia="宋体"/>
                <w:b w:val="0"/>
                <w:sz w:val="21"/>
              </w:rPr>
              <w:t>检查是否具备边界保护能力,是否可以抗攻击，防纂改</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1.26</w:t>
            </w:r>
          </w:p>
        </w:tc>
        <w:tc>
          <w:tcPr>
            <w:tcW w:type="dxa" w:w="2880"/>
          </w:tcPr>
          <w:p>
            <w:r>
              <w:rPr>
                <w:rFonts w:ascii="Times New Roman" w:hAnsi="Times New Roman" w:eastAsia="宋体"/>
                <w:b w:val="0"/>
                <w:sz w:val="21"/>
              </w:rPr>
              <w:t>检查是否有防病毒日志、补丁日志、记录相关信息 记录信息的完整，有效</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1.27</w:t>
            </w:r>
          </w:p>
        </w:tc>
        <w:tc>
          <w:tcPr>
            <w:tcW w:type="dxa" w:w="2880"/>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2880"/>
          </w:tcPr>
          <w:p>
            <w:r>
              <w:rPr>
                <w:rFonts w:ascii="Times New Roman" w:hAnsi="Times New Roman" w:eastAsia="宋体"/>
                <w:b w:val="0"/>
                <w:sz w:val="21"/>
              </w:rPr>
              <w:t>部分可自动化</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2.1</w:t>
            </w:r>
          </w:p>
        </w:tc>
        <w:tc>
          <w:tcPr>
            <w:tcW w:type="dxa" w:w="2880"/>
          </w:tcPr>
          <w:p>
            <w:r>
              <w:rPr>
                <w:rFonts w:ascii="Times New Roman" w:hAnsi="Times New Roman" w:eastAsia="宋体"/>
                <w:b w:val="0"/>
                <w:sz w:val="21"/>
              </w:rPr>
              <w:t>用户计算机应安装防病毒软件并及时升级，发现病毒应及时查杀，查杀无效时应断开网络并向网络管理部分报备；</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2.2</w:t>
            </w:r>
          </w:p>
        </w:tc>
        <w:tc>
          <w:tcPr>
            <w:tcW w:type="dxa" w:w="2880"/>
          </w:tcPr>
          <w:p>
            <w:r>
              <w:rPr>
                <w:rFonts w:ascii="Times New Roman" w:hAnsi="Times New Roman" w:eastAsia="宋体"/>
                <w:b w:val="0"/>
                <w:sz w:val="21"/>
              </w:rPr>
              <w:t>用户计算机应根据需要安装补丁程序；</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2.3</w:t>
            </w:r>
          </w:p>
        </w:tc>
        <w:tc>
          <w:tcPr>
            <w:tcW w:type="dxa" w:w="2880"/>
          </w:tcPr>
          <w:p>
            <w:r>
              <w:rPr>
                <w:rFonts w:ascii="Times New Roman" w:hAnsi="Times New Roman" w:eastAsia="宋体"/>
                <w:b w:val="0"/>
                <w:sz w:val="21"/>
              </w:rPr>
              <w:t>用户应设置用户应用口令，通过认证后使用信息服务；</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2.4</w:t>
            </w:r>
          </w:p>
        </w:tc>
        <w:tc>
          <w:tcPr>
            <w:tcW w:type="dxa" w:w="2880"/>
          </w:tcPr>
          <w:p>
            <w:r>
              <w:rPr>
                <w:rFonts w:ascii="Times New Roman" w:hAnsi="Times New Roman" w:eastAsia="宋体"/>
                <w:b w:val="0"/>
                <w:sz w:val="21"/>
              </w:rPr>
              <w:t>用户计算机应具有互不相同的用户名和口令；</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2.5</w:t>
            </w:r>
          </w:p>
        </w:tc>
        <w:tc>
          <w:tcPr>
            <w:tcW w:type="dxa" w:w="2880"/>
          </w:tcPr>
          <w:p>
            <w:r>
              <w:rPr>
                <w:rFonts w:ascii="Times New Roman" w:hAnsi="Times New Roman" w:eastAsia="宋体"/>
                <w:b w:val="0"/>
                <w:sz w:val="21"/>
              </w:rPr>
              <w:t>用户计算机应关闭冗余系统服务和端口；</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2.6</w:t>
            </w:r>
          </w:p>
        </w:tc>
        <w:tc>
          <w:tcPr>
            <w:tcW w:type="dxa" w:w="2880"/>
          </w:tcPr>
          <w:p>
            <w:r>
              <w:rPr>
                <w:rFonts w:ascii="Times New Roman" w:hAnsi="Times New Roman" w:eastAsia="宋体"/>
                <w:b w:val="0"/>
                <w:sz w:val="21"/>
              </w:rPr>
              <w:t>用户计算机应具备阻断和告警非法连接互联网的能力；</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2.7</w:t>
            </w:r>
          </w:p>
        </w:tc>
        <w:tc>
          <w:tcPr>
            <w:tcW w:type="dxa" w:w="2880"/>
          </w:tcPr>
          <w:p>
            <w:r>
              <w:rPr>
                <w:rFonts w:ascii="Times New Roman" w:hAnsi="Times New Roman" w:eastAsia="宋体"/>
                <w:b w:val="0"/>
                <w:sz w:val="21"/>
              </w:rPr>
              <w:t>用户计算机应具有文件保护功能；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2.8</w:t>
            </w:r>
          </w:p>
        </w:tc>
        <w:tc>
          <w:tcPr>
            <w:tcW w:type="dxa" w:w="2880"/>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2.9</w:t>
            </w:r>
          </w:p>
        </w:tc>
        <w:tc>
          <w:tcPr>
            <w:tcW w:type="dxa" w:w="2880"/>
          </w:tcPr>
          <w:p>
            <w:r>
              <w:rPr>
                <w:rFonts w:ascii="Times New Roman" w:hAnsi="Times New Roman" w:eastAsia="宋体"/>
                <w:b w:val="0"/>
                <w:sz w:val="21"/>
              </w:rPr>
              <w:t>用户计算机应禁止安装与工作无关的软件；</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2.10</w:t>
            </w:r>
          </w:p>
        </w:tc>
        <w:tc>
          <w:tcPr>
            <w:tcW w:type="dxa" w:w="2880"/>
          </w:tcPr>
          <w:p>
            <w:r>
              <w:rPr>
                <w:rFonts w:ascii="Times New Roman" w:hAnsi="Times New Roman" w:eastAsia="宋体"/>
                <w:b w:val="0"/>
                <w:sz w:val="21"/>
              </w:rPr>
              <w:t>用户计算机USB接口应禁止私自连接对拷线和手机、媒体播放设备等个人移动电子设备；</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2.11</w:t>
            </w:r>
          </w:p>
        </w:tc>
        <w:tc>
          <w:tcPr>
            <w:tcW w:type="dxa" w:w="2880"/>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2.12</w:t>
            </w:r>
          </w:p>
        </w:tc>
        <w:tc>
          <w:tcPr>
            <w:tcW w:type="dxa" w:w="2880"/>
          </w:tcPr>
          <w:p>
            <w:r>
              <w:rPr>
                <w:rFonts w:ascii="Times New Roman" w:hAnsi="Times New Roman" w:eastAsia="宋体"/>
                <w:b w:val="0"/>
                <w:sz w:val="21"/>
              </w:rPr>
              <w:t>用户计算机应物理拆除Wi-Fi、红外、蓝牙等无线模块，确需使用Wi-Fi的应严格采用JY密码等措施保护；</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2.13</w:t>
            </w:r>
          </w:p>
        </w:tc>
        <w:tc>
          <w:tcPr>
            <w:tcW w:type="dxa" w:w="2880"/>
          </w:tcPr>
          <w:p>
            <w:r>
              <w:rPr>
                <w:rFonts w:ascii="Times New Roman" w:hAnsi="Times New Roman" w:eastAsia="宋体"/>
                <w:b w:val="0"/>
                <w:sz w:val="21"/>
              </w:rPr>
              <w:t>用户计算机应采取非法外联阻断、文件输出管控等措施；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2.14</w:t>
            </w:r>
          </w:p>
        </w:tc>
        <w:tc>
          <w:tcPr>
            <w:tcW w:type="dxa" w:w="2880"/>
          </w:tcPr>
          <w:p>
            <w:r>
              <w:rPr>
                <w:rFonts w:ascii="Times New Roman" w:hAnsi="Times New Roman" w:eastAsia="宋体"/>
                <w:b w:val="0"/>
                <w:sz w:val="21"/>
              </w:rPr>
              <w:t>应具备用户行为审计能力；审计日志应至少保留xxd；</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2.15</w:t>
            </w:r>
          </w:p>
        </w:tc>
        <w:tc>
          <w:tcPr>
            <w:tcW w:type="dxa" w:w="2880"/>
          </w:tcPr>
          <w:p>
            <w:r>
              <w:rPr>
                <w:rFonts w:ascii="Times New Roman" w:hAnsi="Times New Roman" w:eastAsia="宋体"/>
                <w:b w:val="0"/>
                <w:sz w:val="21"/>
              </w:rPr>
              <w:t>检查安全策略配置情况和设置功能；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2.16</w:t>
            </w:r>
          </w:p>
        </w:tc>
        <w:tc>
          <w:tcPr>
            <w:tcW w:type="dxa" w:w="2880"/>
          </w:tcPr>
          <w:p>
            <w:r>
              <w:rPr>
                <w:rFonts w:ascii="Times New Roman" w:hAnsi="Times New Roman" w:eastAsia="宋体"/>
                <w:b w:val="0"/>
                <w:sz w:val="21"/>
              </w:rPr>
              <w:t>检查被试装备中操作系统、数据库以及应用软件等是否完成补丁修复和升级到最新版本；</w:t>
            </w:r>
          </w:p>
        </w:tc>
        <w:tc>
          <w:tcPr>
            <w:tcW w:type="dxa" w:w="2880"/>
          </w:tcPr>
          <w:p>
            <w:r>
              <w:rPr>
                <w:rFonts w:ascii="Times New Roman" w:hAnsi="Times New Roman" w:eastAsia="宋体"/>
                <w:b w:val="0"/>
                <w:sz w:val="21"/>
              </w:rPr>
              <w:t>部分可自动化</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3.1</w:t>
            </w:r>
          </w:p>
        </w:tc>
        <w:tc>
          <w:tcPr>
            <w:tcW w:type="dxa" w:w="2880"/>
          </w:tcPr>
          <w:p>
            <w:r>
              <w:rPr>
                <w:rFonts w:ascii="Times New Roman" w:hAnsi="Times New Roman" w:eastAsia="宋体"/>
                <w:b w:val="0"/>
                <w:sz w:val="21"/>
              </w:rPr>
              <w:t>集中存储的涉密数据应采取加密保护措施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3.2</w:t>
            </w:r>
          </w:p>
        </w:tc>
        <w:tc>
          <w:tcPr>
            <w:tcW w:type="dxa" w:w="2880"/>
          </w:tcPr>
          <w:p>
            <w:r>
              <w:rPr>
                <w:rFonts w:ascii="Times New Roman" w:hAnsi="Times New Roman" w:eastAsia="宋体"/>
                <w:b w:val="0"/>
                <w:sz w:val="21"/>
              </w:rPr>
              <w:t>用户计算机之间的数据交互、文件传输凳应统一管控和审计</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3.3</w:t>
            </w:r>
          </w:p>
        </w:tc>
        <w:tc>
          <w:tcPr>
            <w:tcW w:type="dxa" w:w="2880"/>
          </w:tcPr>
          <w:p>
            <w:r>
              <w:rPr>
                <w:rFonts w:ascii="Times New Roman" w:hAnsi="Times New Roman" w:eastAsia="宋体"/>
                <w:b w:val="0"/>
                <w:sz w:val="21"/>
              </w:rPr>
              <w:t>涉密存储载体在降密级使用前或重大JS演训活动结束后，应采取数据写覆盖方法及时清除数据</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3.4</w:t>
            </w:r>
          </w:p>
        </w:tc>
        <w:tc>
          <w:tcPr>
            <w:tcW w:type="dxa" w:w="2880"/>
          </w:tcPr>
          <w:p>
            <w:r>
              <w:rPr>
                <w:rFonts w:ascii="Times New Roman" w:hAnsi="Times New Roman" w:eastAsia="宋体"/>
                <w:b w:val="0"/>
                <w:sz w:val="21"/>
              </w:rPr>
              <w:t>对确定销毁的涉密载体，应采取消磁、粉碎、溶解、化浆和熔化等方法进行销毁</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3.5</w:t>
            </w:r>
          </w:p>
        </w:tc>
        <w:tc>
          <w:tcPr>
            <w:tcW w:type="dxa" w:w="2880"/>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3.6</w:t>
            </w:r>
          </w:p>
        </w:tc>
        <w:tc>
          <w:tcPr>
            <w:tcW w:type="dxa" w:w="2880"/>
          </w:tcPr>
          <w:p>
            <w:r>
              <w:rPr>
                <w:rFonts w:ascii="Times New Roman" w:hAnsi="Times New Roman" w:eastAsia="宋体"/>
                <w:b w:val="0"/>
                <w:sz w:val="21"/>
              </w:rPr>
              <w:t>网络边界应具备信息过滤、敏感内容识别等数据放泄漏能力</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3.7</w:t>
            </w:r>
          </w:p>
        </w:tc>
        <w:tc>
          <w:tcPr>
            <w:tcW w:type="dxa" w:w="2880"/>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数据存储系统应根据重要程度划分不同存储区快，并设置用户访问权限</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3.9</w:t>
            </w:r>
          </w:p>
        </w:tc>
        <w:tc>
          <w:tcPr>
            <w:tcW w:type="dxa" w:w="2880"/>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3.10</w:t>
            </w:r>
          </w:p>
        </w:tc>
        <w:tc>
          <w:tcPr>
            <w:tcW w:type="dxa" w:w="2880"/>
          </w:tcPr>
          <w:p>
            <w:r>
              <w:rPr>
                <w:rFonts w:ascii="Times New Roman" w:hAnsi="Times New Roman" w:eastAsia="宋体"/>
                <w:b w:val="0"/>
                <w:sz w:val="21"/>
              </w:rPr>
              <w:t>检查数据共享是否合理，是否存在安全隐患</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3.11</w:t>
            </w:r>
          </w:p>
        </w:tc>
        <w:tc>
          <w:tcPr>
            <w:tcW w:type="dxa" w:w="2880"/>
          </w:tcPr>
          <w:p>
            <w:r>
              <w:rPr>
                <w:rFonts w:ascii="Times New Roman" w:hAnsi="Times New Roman" w:eastAsia="宋体"/>
                <w:b w:val="0"/>
                <w:sz w:val="21"/>
              </w:rPr>
              <w:t>检查对数据的访问是否按照权限分级访问，是否对访问行为进行审计</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3.12</w:t>
            </w:r>
          </w:p>
        </w:tc>
        <w:tc>
          <w:tcPr>
            <w:tcW w:type="dxa" w:w="2880"/>
          </w:tcPr>
          <w:p>
            <w:r>
              <w:rPr>
                <w:rFonts w:ascii="Times New Roman" w:hAnsi="Times New Roman" w:eastAsia="宋体"/>
                <w:b w:val="0"/>
                <w:sz w:val="21"/>
              </w:rPr>
              <w:t>检查数据采集是否超出业务需求范围</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3.13</w:t>
            </w:r>
          </w:p>
        </w:tc>
        <w:tc>
          <w:tcPr>
            <w:tcW w:type="dxa" w:w="2880"/>
          </w:tcPr>
          <w:p>
            <w:r>
              <w:rPr>
                <w:rFonts w:ascii="Times New Roman" w:hAnsi="Times New Roman" w:eastAsia="宋体"/>
                <w:b w:val="0"/>
                <w:sz w:val="21"/>
              </w:rPr>
              <w:t>检查数据各环节处理是否满足密级相应的保密要求</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3.14</w:t>
            </w:r>
          </w:p>
        </w:tc>
        <w:tc>
          <w:tcPr>
            <w:tcW w:type="dxa" w:w="2880"/>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2880"/>
          </w:tcPr>
          <w:p>
            <w:r>
              <w:rPr>
                <w:rFonts w:ascii="Times New Roman" w:hAnsi="Times New Roman" w:eastAsia="宋体"/>
                <w:b w:val="0"/>
                <w:sz w:val="21"/>
              </w:rPr>
              <w:t>需人工</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4.1</w:t>
            </w:r>
          </w:p>
        </w:tc>
        <w:tc>
          <w:tcPr>
            <w:tcW w:type="dxa" w:w="2880"/>
          </w:tcPr>
          <w:p>
            <w:r>
              <w:rPr>
                <w:rFonts w:ascii="Times New Roman" w:hAnsi="Times New Roman" w:eastAsia="宋体"/>
                <w:b w:val="0"/>
                <w:sz w:val="21"/>
              </w:rPr>
              <w:t>应用系统软件应采取备份措施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应用系统软件应及时安装补丁程序，且更新所用升级包应经过安全性测试；</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需基于可信根对应用系统软件进行可信验证。可信性受到破坏后报警。</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4.4</w:t>
            </w:r>
          </w:p>
        </w:tc>
        <w:tc>
          <w:tcPr>
            <w:tcW w:type="dxa" w:w="2880"/>
          </w:tcPr>
          <w:p>
            <w:r>
              <w:rPr>
                <w:rFonts w:ascii="Times New Roman" w:hAnsi="Times New Roman" w:eastAsia="宋体"/>
                <w:b w:val="0"/>
                <w:sz w:val="21"/>
              </w:rPr>
              <w:t>提供公共信息服务的服务器应应与涉密信息服务器分设，专用服务器应只提供专用服务。</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提供公共信息服务的服务器应具备防DDoS攻击能力</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4.6</w:t>
            </w:r>
          </w:p>
        </w:tc>
        <w:tc>
          <w:tcPr>
            <w:tcW w:type="dxa" w:w="2880"/>
          </w:tcPr>
          <w:p>
            <w:r>
              <w:rPr>
                <w:rFonts w:ascii="Times New Roman" w:hAnsi="Times New Roman" w:eastAsia="宋体"/>
                <w:b w:val="0"/>
                <w:sz w:val="21"/>
              </w:rPr>
              <w:t>Web应用系统服务器应采取Web防护措施。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4.7</w:t>
            </w:r>
          </w:p>
        </w:tc>
        <w:tc>
          <w:tcPr>
            <w:tcW w:type="dxa" w:w="2880"/>
          </w:tcPr>
          <w:p>
            <w:r>
              <w:rPr>
                <w:rFonts w:ascii="Times New Roman" w:hAnsi="Times New Roman" w:eastAsia="宋体"/>
                <w:b w:val="0"/>
                <w:sz w:val="21"/>
              </w:rPr>
              <w:t>网站服务宜以静态页面形式发布；</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4.8</w:t>
            </w:r>
          </w:p>
        </w:tc>
        <w:tc>
          <w:tcPr>
            <w:tcW w:type="dxa" w:w="2880"/>
          </w:tcPr>
          <w:p>
            <w:r>
              <w:rPr>
                <w:rFonts w:ascii="Times New Roman" w:hAnsi="Times New Roman" w:eastAsia="宋体"/>
                <w:b w:val="0"/>
                <w:sz w:val="21"/>
              </w:rPr>
              <w:t>网站应采取网页放篡改措施，防止对信息内容的非法修改；</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4.9</w:t>
            </w:r>
          </w:p>
        </w:tc>
        <w:tc>
          <w:tcPr>
            <w:tcW w:type="dxa" w:w="2880"/>
          </w:tcPr>
          <w:p>
            <w:r>
              <w:rPr>
                <w:rFonts w:ascii="Times New Roman" w:hAnsi="Times New Roman" w:eastAsia="宋体"/>
                <w:b w:val="0"/>
                <w:sz w:val="21"/>
              </w:rPr>
              <w:t>Web应用系统应具备防范SQL注入、跨站脚本等攻击能力；</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4.10</w:t>
            </w:r>
          </w:p>
        </w:tc>
        <w:tc>
          <w:tcPr>
            <w:tcW w:type="dxa" w:w="2880"/>
          </w:tcPr>
          <w:p>
            <w:r>
              <w:rPr>
                <w:rFonts w:ascii="Times New Roman" w:hAnsi="Times New Roman" w:eastAsia="宋体"/>
                <w:b w:val="0"/>
                <w:sz w:val="21"/>
              </w:rPr>
              <w:t>Web应用系统应具备执行代码有效验证能力；</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4.11</w:t>
            </w:r>
          </w:p>
        </w:tc>
        <w:tc>
          <w:tcPr>
            <w:tcW w:type="dxa" w:w="2880"/>
          </w:tcPr>
          <w:p>
            <w:r>
              <w:rPr>
                <w:rFonts w:ascii="Times New Roman" w:hAnsi="Times New Roman" w:eastAsia="宋体"/>
                <w:b w:val="0"/>
                <w:sz w:val="21"/>
              </w:rPr>
              <w:t>应具备用户授权访问控制能力；</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4.12</w:t>
            </w:r>
          </w:p>
        </w:tc>
        <w:tc>
          <w:tcPr>
            <w:tcW w:type="dxa" w:w="2880"/>
          </w:tcPr>
          <w:p>
            <w:r>
              <w:rPr>
                <w:rFonts w:ascii="Times New Roman" w:hAnsi="Times New Roman" w:eastAsia="宋体"/>
                <w:b w:val="0"/>
                <w:sz w:val="21"/>
              </w:rPr>
              <w:t>应具备访问应用最大并发会话连接数限制能力；</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4.13</w:t>
            </w:r>
          </w:p>
        </w:tc>
        <w:tc>
          <w:tcPr>
            <w:tcW w:type="dxa" w:w="2880"/>
          </w:tcPr>
          <w:p>
            <w:r>
              <w:rPr>
                <w:rFonts w:ascii="Times New Roman" w:hAnsi="Times New Roman" w:eastAsia="宋体"/>
                <w:b w:val="0"/>
                <w:sz w:val="21"/>
              </w:rPr>
              <w:t>业务管理终端专设专用；</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4.14</w:t>
            </w:r>
          </w:p>
        </w:tc>
        <w:tc>
          <w:tcPr>
            <w:tcW w:type="dxa" w:w="2880"/>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4.15</w:t>
            </w:r>
          </w:p>
        </w:tc>
        <w:tc>
          <w:tcPr>
            <w:tcW w:type="dxa" w:w="2880"/>
          </w:tcPr>
          <w:p>
            <w:r>
              <w:rPr>
                <w:rFonts w:ascii="Times New Roman" w:hAnsi="Times New Roman" w:eastAsia="宋体"/>
                <w:b w:val="0"/>
                <w:sz w:val="21"/>
              </w:rPr>
              <w:t>文电等文档专用业务处理系统应具有签名验证、密级标识等功能；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4.16</w:t>
            </w:r>
          </w:p>
        </w:tc>
        <w:tc>
          <w:tcPr>
            <w:tcW w:type="dxa" w:w="2880"/>
          </w:tcPr>
          <w:p>
            <w:r>
              <w:rPr>
                <w:rFonts w:ascii="Times New Roman" w:hAnsi="Times New Roman" w:eastAsia="宋体"/>
                <w:b w:val="0"/>
                <w:sz w:val="21"/>
              </w:rPr>
              <w:t>远程管理应采取加密保护措施；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4.17</w:t>
            </w:r>
          </w:p>
        </w:tc>
        <w:tc>
          <w:tcPr>
            <w:tcW w:type="dxa" w:w="2880"/>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4.18</w:t>
            </w:r>
          </w:p>
        </w:tc>
        <w:tc>
          <w:tcPr>
            <w:tcW w:type="dxa" w:w="2880"/>
          </w:tcPr>
          <w:p>
            <w:r>
              <w:rPr>
                <w:rFonts w:ascii="Times New Roman" w:hAnsi="Times New Roman" w:eastAsia="宋体"/>
                <w:b w:val="0"/>
                <w:sz w:val="21"/>
              </w:rPr>
              <w:t>业务管理终端登录应采取网络地址限制措施；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4.19</w:t>
            </w:r>
          </w:p>
        </w:tc>
        <w:tc>
          <w:tcPr>
            <w:tcW w:type="dxa" w:w="2880"/>
          </w:tcPr>
          <w:p>
            <w:r>
              <w:rPr>
                <w:rFonts w:ascii="Times New Roman" w:hAnsi="Times New Roman" w:eastAsia="宋体"/>
                <w:b w:val="0"/>
                <w:sz w:val="21"/>
              </w:rPr>
              <w:t>应具有结束会话、限定登录错误次数和自动退出等登录失败处理功能；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4.20</w:t>
            </w:r>
          </w:p>
        </w:tc>
        <w:tc>
          <w:tcPr>
            <w:tcW w:type="dxa" w:w="2880"/>
          </w:tcPr>
          <w:p>
            <w:r>
              <w:rPr>
                <w:rFonts w:ascii="Times New Roman" w:hAnsi="Times New Roman" w:eastAsia="宋体"/>
                <w:b w:val="0"/>
                <w:sz w:val="21"/>
              </w:rPr>
              <w:t>宜使用自主设计开发的网络服务、协议、接口等，增强应用安全。</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4.21</w:t>
            </w:r>
          </w:p>
        </w:tc>
        <w:tc>
          <w:tcPr>
            <w:tcW w:type="dxa" w:w="2880"/>
          </w:tcPr>
          <w:p>
            <w:r>
              <w:rPr>
                <w:rFonts w:ascii="Times New Roman" w:hAnsi="Times New Roman" w:eastAsia="宋体"/>
                <w:b w:val="0"/>
                <w:sz w:val="21"/>
              </w:rPr>
              <w:t>应具有基于专用物理部件或生物特征多因素的、与JD密码算法相结合的数字证书用户身份认证功能；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4.22</w:t>
            </w:r>
          </w:p>
        </w:tc>
        <w:tc>
          <w:tcPr>
            <w:tcW w:type="dxa" w:w="2880"/>
          </w:tcPr>
          <w:p>
            <w:r>
              <w:rPr>
                <w:rFonts w:ascii="Times New Roman" w:hAnsi="Times New Roman" w:eastAsia="宋体"/>
                <w:b w:val="0"/>
                <w:sz w:val="21"/>
              </w:rPr>
              <w:t>应更改Web应用系统默认服务发布端口；</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4.23</w:t>
            </w:r>
          </w:p>
        </w:tc>
        <w:tc>
          <w:tcPr>
            <w:tcW w:type="dxa" w:w="2880"/>
          </w:tcPr>
          <w:p>
            <w:r>
              <w:rPr>
                <w:rFonts w:ascii="Times New Roman" w:hAnsi="Times New Roman" w:eastAsia="宋体"/>
                <w:b w:val="0"/>
                <w:sz w:val="21"/>
              </w:rPr>
              <w:t>应分开设置管理端口与应用端口；</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4.24</w:t>
            </w:r>
          </w:p>
        </w:tc>
        <w:tc>
          <w:tcPr>
            <w:tcW w:type="dxa" w:w="2880"/>
          </w:tcPr>
          <w:p>
            <w:r>
              <w:rPr>
                <w:rFonts w:ascii="Times New Roman" w:hAnsi="Times New Roman" w:eastAsia="宋体"/>
                <w:b w:val="0"/>
                <w:sz w:val="21"/>
              </w:rPr>
              <w:t>应用服务和数据存储应部署在不同的服务器上；</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4.25</w:t>
            </w:r>
          </w:p>
        </w:tc>
        <w:tc>
          <w:tcPr>
            <w:tcW w:type="dxa" w:w="2880"/>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4.26</w:t>
            </w:r>
          </w:p>
        </w:tc>
        <w:tc>
          <w:tcPr>
            <w:tcW w:type="dxa" w:w="2880"/>
          </w:tcPr>
          <w:p>
            <w:r>
              <w:rPr>
                <w:rFonts w:ascii="Times New Roman" w:hAnsi="Times New Roman" w:eastAsia="宋体"/>
                <w:b w:val="0"/>
                <w:sz w:val="21"/>
              </w:rPr>
              <w:t>应经过代码级安全漏洞挖掘；</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4.27</w:t>
            </w:r>
          </w:p>
        </w:tc>
        <w:tc>
          <w:tcPr>
            <w:tcW w:type="dxa" w:w="2880"/>
          </w:tcPr>
          <w:p>
            <w:r>
              <w:rPr>
                <w:rFonts w:ascii="Times New Roman" w:hAnsi="Times New Roman" w:eastAsia="宋体"/>
                <w:b w:val="0"/>
                <w:sz w:val="21"/>
              </w:rPr>
              <w:t>检查是否具备对人机接口输入、网络通信输入、文件输入的数据进行格式和长度检查的功能；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4.28</w:t>
            </w:r>
          </w:p>
        </w:tc>
        <w:tc>
          <w:tcPr>
            <w:tcW w:type="dxa" w:w="2880"/>
          </w:tcPr>
          <w:p>
            <w:r>
              <w:rPr>
                <w:rFonts w:ascii="Times New Roman" w:hAnsi="Times New Roman" w:eastAsia="宋体"/>
                <w:b w:val="0"/>
                <w:sz w:val="21"/>
              </w:rPr>
              <w:t>检查是否能够有效检测并防御SQL注入、网页篡改、跨站脚本、拒绝服务等应用层攻击；</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4.29</w:t>
            </w:r>
          </w:p>
        </w:tc>
        <w:tc>
          <w:tcPr>
            <w:tcW w:type="dxa" w:w="2880"/>
          </w:tcPr>
          <w:p>
            <w:r>
              <w:rPr>
                <w:rFonts w:ascii="Times New Roman" w:hAnsi="Times New Roman" w:eastAsia="宋体"/>
                <w:b w:val="0"/>
                <w:sz w:val="21"/>
              </w:rPr>
              <w:t>检查是否具有用户访问权限统一管理功能；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4.30</w:t>
            </w:r>
          </w:p>
        </w:tc>
        <w:tc>
          <w:tcPr>
            <w:tcW w:type="dxa" w:w="2880"/>
          </w:tcPr>
          <w:p>
            <w:r>
              <w:rPr>
                <w:rFonts w:ascii="Times New Roman" w:hAnsi="Times New Roman" w:eastAsia="宋体"/>
                <w:b w:val="0"/>
                <w:sz w:val="21"/>
              </w:rPr>
              <w:t>检查是否具备统一管理措施，是否对远程管理进行限制；</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4.31</w:t>
            </w:r>
          </w:p>
        </w:tc>
        <w:tc>
          <w:tcPr>
            <w:tcW w:type="dxa" w:w="2880"/>
          </w:tcPr>
          <w:p>
            <w:r>
              <w:rPr>
                <w:rFonts w:ascii="Times New Roman" w:hAnsi="Times New Roman" w:eastAsia="宋体"/>
                <w:b w:val="0"/>
                <w:sz w:val="21"/>
              </w:rPr>
              <w:t>检查是否能够设置最大并发会话连接数、会话建立速率、单用户并发会话数；</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4.32</w:t>
            </w:r>
          </w:p>
        </w:tc>
        <w:tc>
          <w:tcPr>
            <w:tcW w:type="dxa" w:w="2880"/>
          </w:tcPr>
          <w:p>
            <w:r>
              <w:rPr>
                <w:rFonts w:ascii="Times New Roman" w:hAnsi="Times New Roman" w:eastAsia="宋体"/>
                <w:b w:val="0"/>
                <w:sz w:val="21"/>
              </w:rPr>
              <w:t>检查所有应用是否具备备份与恢复功能；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4.33</w:t>
            </w:r>
          </w:p>
        </w:tc>
        <w:tc>
          <w:tcPr>
            <w:tcW w:type="dxa" w:w="2880"/>
          </w:tcPr>
          <w:p>
            <w:r>
              <w:rPr>
                <w:rFonts w:ascii="Times New Roman" w:hAnsi="Times New Roman" w:eastAsia="宋体"/>
                <w:b w:val="0"/>
                <w:sz w:val="21"/>
              </w:rPr>
              <w:t>检查应用软件是否基于国产自主可控软硬件自主开发</w:t>
            </w:r>
          </w:p>
        </w:tc>
        <w:tc>
          <w:tcPr>
            <w:tcW w:type="dxa" w:w="2880"/>
          </w:tcPr>
          <w:p>
            <w:r>
              <w:rPr>
                <w:rFonts w:ascii="Times New Roman" w:hAnsi="Times New Roman" w:eastAsia="宋体"/>
                <w:b w:val="0"/>
                <w:sz w:val="21"/>
              </w:rPr>
              <w:t>可自动化</w:t>
            </w:r>
          </w:p>
        </w:tc>
      </w:tr>
    </w:tbl>
    <w:p>
      <w:pPr>
        <w:pStyle w:val="Heading3"/>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JD网络跨网跨域数据交换时应按以下流程进行： 1）应向网络管理部门和主管保密部门提出申请，审批通过后开展工作； 2）遵循跨网跨域数据交换相关标准，在需求分析的基础上进行安全保密方案设计； 3）组织专家进行方案评审；4）配齐网络安全防护设备； 5）提请j委保密委员会办公室和j委联合参谋部信息通信局进行专项安全检测； 6）检测通过后方可开始运行；7）报主管保密部门审核，报j委保密委员会办公室、JW联合参谋部门信息通信局备案</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5.2</w:t>
            </w:r>
          </w:p>
        </w:tc>
        <w:tc>
          <w:tcPr>
            <w:tcW w:type="dxa" w:w="2880"/>
          </w:tcPr>
          <w:p>
            <w:r>
              <w:rPr>
                <w:rFonts w:ascii="Times New Roman" w:hAnsi="Times New Roman" w:eastAsia="宋体"/>
                <w:b w:val="0"/>
                <w:sz w:val="21"/>
              </w:rPr>
              <w:t>利用无线网络技术构建安全防护等级为三级、四级、五级的网络时，应按照4.3.3 b 所述工作流程执行： 1）应向网络管理部门和主管保密部门提出申请，审批通过后开展工作； 2）遵循跨网跨域数据交换相关标准，在需求分析的基础上进行安全保密方案设计； 3）组织专家进行方案评审； 4）配齐网络安全防护设备； 5）提请j委保密委员会办公室和j委联合参谋部信息通信局进行转向安全检测； 6）检测通过后方可开始运行； 7）报主管保密部门审核，报JW保密委员会办公室、JW联合参谋部信息通信局备案</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5.3</w:t>
            </w:r>
          </w:p>
        </w:tc>
        <w:tc>
          <w:tcPr>
            <w:tcW w:type="dxa" w:w="2880"/>
          </w:tcPr>
          <w:p>
            <w:r>
              <w:rPr>
                <w:rFonts w:ascii="Times New Roman" w:hAnsi="Times New Roman" w:eastAsia="宋体"/>
                <w:b w:val="0"/>
                <w:sz w:val="21"/>
              </w:rPr>
              <w:t>应按最小化原则设计网络架构，局域网宜采用交换技术组网，在适当预留扩展空间的前提下合理配置连续IP地址</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5.4</w:t>
            </w:r>
          </w:p>
        </w:tc>
        <w:tc>
          <w:tcPr>
            <w:tcW w:type="dxa" w:w="2880"/>
          </w:tcPr>
          <w:p>
            <w:r>
              <w:rPr>
                <w:rFonts w:ascii="Times New Roman" w:hAnsi="Times New Roman" w:eastAsia="宋体"/>
                <w:b w:val="0"/>
                <w:sz w:val="21"/>
              </w:rPr>
              <w:t>网络边界物理互联的节点数量、使用的路由协议种类、用于路由的地址网段等应满足最小化原则</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5.5</w:t>
            </w:r>
          </w:p>
        </w:tc>
        <w:tc>
          <w:tcPr>
            <w:tcW w:type="dxa" w:w="2880"/>
          </w:tcPr>
          <w:p>
            <w:r>
              <w:rPr>
                <w:rFonts w:ascii="Times New Roman" w:hAnsi="Times New Roman" w:eastAsia="宋体"/>
                <w:b w:val="0"/>
                <w:sz w:val="21"/>
              </w:rPr>
              <w:t>局域网内部应根据业务性质划分若干个安全区域，不同用途的服务器、数据存储设备、除网络设备外的嵌入式设备应单独划分安全区域</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5.6</w:t>
            </w:r>
          </w:p>
        </w:tc>
        <w:tc>
          <w:tcPr>
            <w:tcW w:type="dxa" w:w="2880"/>
          </w:tcPr>
          <w:p>
            <w:r>
              <w:rPr>
                <w:rFonts w:ascii="Times New Roman" w:hAnsi="Times New Roman" w:eastAsia="宋体"/>
                <w:b w:val="0"/>
                <w:sz w:val="21"/>
              </w:rPr>
              <w:t>网络设备应根据实际业务需求和安全防护要求按照最小化原则在远程管理、账户设置、访问控制等方面进行安全配置</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5.7</w:t>
            </w:r>
          </w:p>
        </w:tc>
        <w:tc>
          <w:tcPr>
            <w:tcW w:type="dxa" w:w="2880"/>
          </w:tcPr>
          <w:p>
            <w:r>
              <w:rPr>
                <w:rFonts w:ascii="Times New Roman" w:hAnsi="Times New Roman" w:eastAsia="宋体"/>
                <w:b w:val="0"/>
                <w:sz w:val="21"/>
              </w:rPr>
              <w:t>网络设备应开放唯一网络管理服务，并限制管理终端访问</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5.8</w:t>
            </w:r>
          </w:p>
        </w:tc>
        <w:tc>
          <w:tcPr>
            <w:tcW w:type="dxa" w:w="2880"/>
          </w:tcPr>
          <w:p>
            <w:r>
              <w:rPr>
                <w:rFonts w:ascii="Times New Roman" w:hAnsi="Times New Roman" w:eastAsia="宋体"/>
                <w:b w:val="0"/>
                <w:sz w:val="21"/>
              </w:rPr>
              <w:t>远程网络管理网络设备和网络安全防护设备应采用具有加密保护功能的管理服务</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5.9</w:t>
            </w:r>
          </w:p>
        </w:tc>
        <w:tc>
          <w:tcPr>
            <w:tcW w:type="dxa" w:w="2880"/>
          </w:tcPr>
          <w:p>
            <w:r>
              <w:rPr>
                <w:rFonts w:ascii="Times New Roman" w:hAnsi="Times New Roman" w:eastAsia="宋体"/>
                <w:b w:val="0"/>
                <w:sz w:val="21"/>
              </w:rPr>
              <w:t>同一网络传输链路具有相同安全功能的防护设备应使用不同架构或不同品牌产品</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5.10</w:t>
            </w:r>
          </w:p>
        </w:tc>
        <w:tc>
          <w:tcPr>
            <w:tcW w:type="dxa" w:w="2880"/>
          </w:tcPr>
          <w:p>
            <w:r>
              <w:rPr>
                <w:rFonts w:ascii="Times New Roman" w:hAnsi="Times New Roman" w:eastAsia="宋体"/>
                <w:b w:val="0"/>
                <w:sz w:val="21"/>
              </w:rPr>
              <w:t>应对组播源、组播地址、组播成员采取控制措施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5.11</w:t>
            </w:r>
          </w:p>
        </w:tc>
        <w:tc>
          <w:tcPr>
            <w:tcW w:type="dxa" w:w="2880"/>
          </w:tcPr>
          <w:p>
            <w:r>
              <w:rPr>
                <w:rFonts w:ascii="Times New Roman" w:hAnsi="Times New Roman" w:eastAsia="宋体"/>
                <w:b w:val="0"/>
                <w:sz w:val="21"/>
              </w:rPr>
              <w:t>重要网络设备和网络安全防护设备应有备份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5.12</w:t>
            </w:r>
          </w:p>
        </w:tc>
        <w:tc>
          <w:tcPr>
            <w:tcW w:type="dxa" w:w="2880"/>
          </w:tcPr>
          <w:p>
            <w:r>
              <w:rPr>
                <w:rFonts w:ascii="Times New Roman" w:hAnsi="Times New Roman" w:eastAsia="宋体"/>
                <w:b w:val="0"/>
                <w:sz w:val="21"/>
              </w:rPr>
              <w:t>远程传输应采取链路加密、网络加密、信源加密中两层保护措施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5.13</w:t>
            </w:r>
          </w:p>
        </w:tc>
        <w:tc>
          <w:tcPr>
            <w:tcW w:type="dxa" w:w="2880"/>
          </w:tcPr>
          <w:p>
            <w:r>
              <w:rPr>
                <w:rFonts w:ascii="Times New Roman" w:hAnsi="Times New Roman" w:eastAsia="宋体"/>
                <w:b w:val="0"/>
                <w:sz w:val="21"/>
              </w:rPr>
              <w:t>应设立网络安全管理中心并指定管理终端，对网络设备、网络安全防护设备、存储设备等资源进行单独管理</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5.14</w:t>
            </w:r>
          </w:p>
        </w:tc>
        <w:tc>
          <w:tcPr>
            <w:tcW w:type="dxa" w:w="2880"/>
          </w:tcPr>
          <w:p>
            <w:r>
              <w:rPr>
                <w:rFonts w:ascii="Times New Roman" w:hAnsi="Times New Roman" w:eastAsia="宋体"/>
                <w:b w:val="0"/>
                <w:sz w:val="21"/>
              </w:rPr>
              <w:t>与互联网、非JD网络、安全防护等级为一级的网络应物理隔离，与安全防护等级为二级、三级和四级的网络应逻辑隔离</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5.15</w:t>
            </w:r>
          </w:p>
        </w:tc>
        <w:tc>
          <w:tcPr>
            <w:tcW w:type="dxa" w:w="2880"/>
          </w:tcPr>
          <w:p>
            <w:r>
              <w:rPr>
                <w:rFonts w:ascii="Times New Roman" w:hAnsi="Times New Roman" w:eastAsia="宋体"/>
                <w:b w:val="0"/>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5.16</w:t>
            </w:r>
          </w:p>
        </w:tc>
        <w:tc>
          <w:tcPr>
            <w:tcW w:type="dxa" w:w="2880"/>
          </w:tcPr>
          <w:p>
            <w:r>
              <w:rPr>
                <w:rFonts w:ascii="Times New Roman" w:hAnsi="Times New Roman" w:eastAsia="宋体"/>
                <w:b w:val="0"/>
                <w:sz w:val="21"/>
              </w:rPr>
              <w:t>局域网各安全区域之间、服务器与终端之间、服务器之间、终端之间应采取全网细粒度访问控制措施</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5.17</w:t>
            </w:r>
          </w:p>
        </w:tc>
        <w:tc>
          <w:tcPr>
            <w:tcW w:type="dxa" w:w="2880"/>
          </w:tcPr>
          <w:p>
            <w:r>
              <w:rPr>
                <w:rFonts w:ascii="Times New Roman" w:hAnsi="Times New Roman" w:eastAsia="宋体"/>
                <w:b w:val="0"/>
                <w:sz w:val="21"/>
              </w:rPr>
              <w:t>远程传输租用地方线路时应采取链路加密、网络加密、信源加密三层保护措施</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5.18</w:t>
            </w:r>
          </w:p>
        </w:tc>
        <w:tc>
          <w:tcPr>
            <w:tcW w:type="dxa" w:w="2880"/>
          </w:tcPr>
          <w:p>
            <w:r>
              <w:rPr>
                <w:rFonts w:ascii="Times New Roman" w:hAnsi="Times New Roman" w:eastAsia="宋体"/>
                <w:b w:val="0"/>
                <w:sz w:val="21"/>
              </w:rPr>
              <w:t>应采取不低于基于801.1x协议认证强度的接入认证措施，认证因素至少包括交换机端口、计算机IP地址和MAC地址</w:t>
            </w:r>
          </w:p>
        </w:tc>
        <w:tc>
          <w:tcPr>
            <w:tcW w:type="dxa" w:w="2880"/>
          </w:tcPr>
          <w:p>
            <w:r>
              <w:rPr>
                <w:rFonts w:ascii="Times New Roman" w:hAnsi="Times New Roman" w:eastAsia="宋体"/>
                <w:b w:val="0"/>
                <w:sz w:val="21"/>
              </w:rPr>
              <w:t>可自动化</w:t>
            </w:r>
          </w:p>
        </w:tc>
      </w:tr>
      <w:tr>
        <w:tc>
          <w:tcPr>
            <w:tcW w:type="dxa" w:w="2880"/>
          </w:tcPr>
          <w:p>
            <w:r>
              <w:rPr>
                <w:rFonts w:ascii="Times New Roman" w:hAnsi="Times New Roman" w:eastAsia="宋体"/>
                <w:b w:val="0"/>
                <w:sz w:val="21"/>
              </w:rPr>
              <w:t>5.19</w:t>
            </w:r>
          </w:p>
        </w:tc>
        <w:tc>
          <w:tcPr>
            <w:tcW w:type="dxa" w:w="2880"/>
          </w:tcPr>
          <w:p>
            <w:r>
              <w:rPr>
                <w:rFonts w:ascii="Times New Roman" w:hAnsi="Times New Roman" w:eastAsia="宋体"/>
                <w:b w:val="0"/>
                <w:sz w:val="21"/>
              </w:rPr>
              <w:t>用户计算机之间应逻辑隔离</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5.20</w:t>
            </w:r>
          </w:p>
        </w:tc>
        <w:tc>
          <w:tcPr>
            <w:tcW w:type="dxa" w:w="2880"/>
          </w:tcPr>
          <w:p>
            <w:r>
              <w:rPr>
                <w:rFonts w:ascii="Times New Roman" w:hAnsi="Times New Roman" w:eastAsia="宋体"/>
                <w:b w:val="0"/>
                <w:sz w:val="21"/>
              </w:rPr>
              <w:t>应具备全网行为审计记录能力，审计日志应至少保留180天</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5.21</w:t>
            </w:r>
          </w:p>
        </w:tc>
        <w:tc>
          <w:tcPr>
            <w:tcW w:type="dxa" w:w="2880"/>
          </w:tcPr>
          <w:p>
            <w:r>
              <w:rPr>
                <w:rFonts w:ascii="Times New Roman" w:hAnsi="Times New Roman" w:eastAsia="宋体"/>
                <w:b w:val="0"/>
                <w:sz w:val="21"/>
              </w:rPr>
              <w:t>应对全网攻击行为、违规行为采取实时监视、报警、审计、控制处理、阻断和定位措施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5.22</w:t>
            </w:r>
          </w:p>
        </w:tc>
        <w:tc>
          <w:tcPr>
            <w:tcW w:type="dxa" w:w="2880"/>
          </w:tcPr>
          <w:p>
            <w:r>
              <w:rPr>
                <w:rFonts w:ascii="Times New Roman" w:hAnsi="Times New Roman" w:eastAsia="宋体"/>
                <w:b w:val="0"/>
                <w:sz w:val="21"/>
              </w:rPr>
              <w:t>数据存储系统的管理网路与应用网路应逻辑隔离</w:t>
            </w:r>
          </w:p>
        </w:tc>
        <w:tc>
          <w:tcPr>
            <w:tcW w:type="dxa" w:w="2880"/>
          </w:tcPr>
          <w:p>
            <w:r>
              <w:rPr>
                <w:rFonts w:ascii="Times New Roman" w:hAnsi="Times New Roman" w:eastAsia="宋体"/>
                <w:b w:val="0"/>
                <w:sz w:val="21"/>
              </w:rPr>
              <w:t>部分可自动化</w:t>
            </w:r>
          </w:p>
        </w:tc>
      </w:tr>
      <w:tr>
        <w:tc>
          <w:tcPr>
            <w:tcW w:type="dxa" w:w="2880"/>
          </w:tcPr>
          <w:p>
            <w:r>
              <w:rPr>
                <w:rFonts w:ascii="Times New Roman" w:hAnsi="Times New Roman" w:eastAsia="宋体"/>
                <w:b w:val="0"/>
                <w:sz w:val="21"/>
              </w:rPr>
              <w:t>5.23</w:t>
            </w:r>
          </w:p>
        </w:tc>
        <w:tc>
          <w:tcPr>
            <w:tcW w:type="dxa" w:w="2880"/>
          </w:tcPr>
          <w:p>
            <w:r>
              <w:rPr>
                <w:rFonts w:ascii="Times New Roman" w:hAnsi="Times New Roman" w:eastAsia="宋体"/>
                <w:b w:val="0"/>
                <w:sz w:val="21"/>
              </w:rPr>
              <w:t>检查网络设备配备的合理性、必要性，是否存在非必要的冗余内容</w:t>
            </w:r>
          </w:p>
        </w:tc>
        <w:tc>
          <w:tcPr>
            <w:tcW w:type="dxa" w:w="2880"/>
          </w:tcPr>
          <w:p>
            <w:r>
              <w:rPr>
                <w:rFonts w:ascii="Times New Roman" w:hAnsi="Times New Roman" w:eastAsia="宋体"/>
                <w:b w:val="0"/>
                <w:sz w:val="21"/>
              </w:rPr>
              <w:t>可自动化</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使用的网络设备、服务器、终端等，应选用进入《全J计算机及网络设备集中采购目录》的产品</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6.2</w:t>
            </w:r>
          </w:p>
        </w:tc>
        <w:tc>
          <w:tcPr>
            <w:tcW w:type="dxa" w:w="2880"/>
          </w:tcPr>
          <w:p>
            <w:r>
              <w:rPr>
                <w:rFonts w:ascii="Times New Roman" w:hAnsi="Times New Roman" w:eastAsia="宋体"/>
                <w:b w:val="0"/>
                <w:sz w:val="21"/>
              </w:rPr>
              <w:t>使用的安全网关、防火墙等信息安全产品，应通过JD信息安全测评认证机构的认证</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6.3</w:t>
            </w:r>
          </w:p>
        </w:tc>
        <w:tc>
          <w:tcPr>
            <w:tcW w:type="dxa" w:w="2880"/>
          </w:tcPr>
          <w:p>
            <w:r>
              <w:rPr>
                <w:rFonts w:ascii="Times New Roman" w:hAnsi="Times New Roman" w:eastAsia="宋体"/>
                <w:b w:val="0"/>
                <w:sz w:val="21"/>
              </w:rPr>
              <w:t>机房应有序、规范、合理走线布线，明确互联网区域和内部区域，粘贴标识，区分不同线路</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6.4</w:t>
            </w:r>
          </w:p>
        </w:tc>
        <w:tc>
          <w:tcPr>
            <w:tcW w:type="dxa" w:w="2880"/>
          </w:tcPr>
          <w:p>
            <w:r>
              <w:rPr>
                <w:rFonts w:ascii="Times New Roman" w:hAnsi="Times New Roman" w:eastAsia="宋体"/>
                <w:b w:val="0"/>
                <w:sz w:val="21"/>
              </w:rPr>
              <w:t>机房应符合GB 2887-2011中4.6.1所规定的温湿度等要求</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6.5</w:t>
            </w:r>
          </w:p>
        </w:tc>
        <w:tc>
          <w:tcPr>
            <w:tcW w:type="dxa" w:w="2880"/>
          </w:tcPr>
          <w:p>
            <w:r>
              <w:rPr>
                <w:rFonts w:ascii="Times New Roman" w:hAnsi="Times New Roman" w:eastAsia="宋体"/>
                <w:b w:val="0"/>
                <w:sz w:val="21"/>
              </w:rPr>
              <w:t>机房应安装安防监控设备，对机房的人员进出、设备操作等进行监管</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6.6</w:t>
            </w:r>
          </w:p>
        </w:tc>
        <w:tc>
          <w:tcPr>
            <w:tcW w:type="dxa" w:w="2880"/>
          </w:tcPr>
          <w:p>
            <w:r>
              <w:rPr>
                <w:rFonts w:ascii="Times New Roman" w:hAnsi="Times New Roman" w:eastAsia="宋体"/>
                <w:b w:val="0"/>
                <w:sz w:val="21"/>
              </w:rPr>
              <w:t>机房应将涉密区域和互联网区域设置于不同场所</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6.7</w:t>
            </w:r>
          </w:p>
        </w:tc>
        <w:tc>
          <w:tcPr>
            <w:tcW w:type="dxa" w:w="2880"/>
          </w:tcPr>
          <w:p>
            <w:r>
              <w:rPr>
                <w:rFonts w:ascii="Times New Roman" w:hAnsi="Times New Roman" w:eastAsia="宋体"/>
                <w:b w:val="0"/>
                <w:sz w:val="21"/>
              </w:rPr>
              <w:t>在涉密网络中使用过的打印机、复印机、刻录机、扫描仪、存储载体等设备严禁在互联网中使用</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6.8</w:t>
            </w:r>
          </w:p>
        </w:tc>
        <w:tc>
          <w:tcPr>
            <w:tcW w:type="dxa" w:w="2880"/>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6.9</w:t>
            </w:r>
          </w:p>
        </w:tc>
        <w:tc>
          <w:tcPr>
            <w:tcW w:type="dxa" w:w="2880"/>
          </w:tcPr>
          <w:p>
            <w:r>
              <w:rPr>
                <w:rFonts w:ascii="Times New Roman" w:hAnsi="Times New Roman" w:eastAsia="宋体"/>
                <w:b w:val="0"/>
                <w:sz w:val="21"/>
              </w:rPr>
              <w:t>与安全防护等级低的网络使用不同色系线缆进行严格隔离区分</w:t>
            </w:r>
          </w:p>
        </w:tc>
        <w:tc>
          <w:tcPr>
            <w:tcW w:type="dxa" w:w="2880"/>
          </w:tcPr>
          <w:p>
            <w:r>
              <w:rPr>
                <w:rFonts w:ascii="Times New Roman" w:hAnsi="Times New Roman" w:eastAsia="宋体"/>
                <w:b w:val="0"/>
                <w:sz w:val="21"/>
              </w:rPr>
              <w:t>需人工</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7.1</w:t>
            </w:r>
          </w:p>
        </w:tc>
        <w:tc>
          <w:tcPr>
            <w:tcW w:type="dxa" w:w="2880"/>
          </w:tcPr>
          <w:p>
            <w:r>
              <w:rPr>
                <w:rFonts w:ascii="Times New Roman" w:hAnsi="Times New Roman" w:eastAsia="宋体"/>
                <w:b w:val="0"/>
                <w:sz w:val="21"/>
              </w:rPr>
              <w:t>应设置安全管理机构，保证系统安全措施的落实；</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7.2</w:t>
            </w:r>
          </w:p>
        </w:tc>
        <w:tc>
          <w:tcPr>
            <w:tcW w:type="dxa" w:w="2880"/>
          </w:tcPr>
          <w:p>
            <w:r>
              <w:rPr>
                <w:rFonts w:ascii="Times New Roman" w:hAnsi="Times New Roman" w:eastAsia="宋体"/>
                <w:b w:val="0"/>
                <w:sz w:val="21"/>
              </w:rPr>
              <w:t>应配备专职系统安全保密管理人员，负责系统安全措施的落实。</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应具有安全管理领导机构，督导系统安全措施的落实；</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7.4</w:t>
            </w:r>
          </w:p>
        </w:tc>
        <w:tc>
          <w:tcPr>
            <w:tcW w:type="dxa" w:w="2880"/>
          </w:tcPr>
          <w:p>
            <w:r>
              <w:rPr>
                <w:rFonts w:ascii="Times New Roman" w:hAnsi="Times New Roman" w:eastAsia="宋体"/>
                <w:b w:val="0"/>
                <w:sz w:val="21"/>
              </w:rPr>
              <w:t>应具有系统安全保密技术管理人员，具体负责安全保密技术措施的落实，保证系统安全运行；</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应具有完善的应急响应体系，应对突发事件。</w:t>
            </w:r>
          </w:p>
        </w:tc>
        <w:tc>
          <w:tcPr>
            <w:tcW w:type="dxa" w:w="2880"/>
          </w:tcPr>
          <w:p>
            <w:r>
              <w:rPr>
                <w:rFonts w:ascii="Times New Roman" w:hAnsi="Times New Roman" w:eastAsia="宋体"/>
                <w:b w:val="0"/>
                <w:sz w:val="21"/>
              </w:rPr>
              <w:t>需人工</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8.1</w:t>
            </w:r>
          </w:p>
        </w:tc>
        <w:tc>
          <w:tcPr>
            <w:tcW w:type="dxa" w:w="2880"/>
          </w:tcPr>
          <w:p>
            <w:r>
              <w:rPr>
                <w:rFonts w:ascii="Times New Roman" w:hAnsi="Times New Roman" w:eastAsia="宋体"/>
                <w:b w:val="0"/>
                <w:sz w:val="21"/>
              </w:rPr>
              <w:t>应具有日常安全管理制度、入网审批制度和系统安全保密检查制度等；</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8.2</w:t>
            </w:r>
          </w:p>
        </w:tc>
        <w:tc>
          <w:tcPr>
            <w:tcW w:type="dxa" w:w="2880"/>
          </w:tcPr>
          <w:p>
            <w:r>
              <w:rPr>
                <w:rFonts w:ascii="Times New Roman" w:hAnsi="Times New Roman" w:eastAsia="宋体"/>
                <w:b w:val="0"/>
                <w:sz w:val="21"/>
              </w:rPr>
              <w:t>应具有安全管理操作规程、安全监控操作规程、安全审计操作规程、应急响应操作规程等。</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8.3</w:t>
            </w:r>
          </w:p>
        </w:tc>
        <w:tc>
          <w:tcPr>
            <w:tcW w:type="dxa" w:w="2880"/>
          </w:tcPr>
          <w:p>
            <w:r>
              <w:rPr>
                <w:rFonts w:ascii="Times New Roman" w:hAnsi="Times New Roman" w:eastAsia="宋体"/>
                <w:b w:val="0"/>
                <w:sz w:val="21"/>
              </w:rPr>
              <w:t>应具有日常系统备份制度和存储载体使用管理制度；</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8.4</w:t>
            </w:r>
          </w:p>
        </w:tc>
        <w:tc>
          <w:tcPr>
            <w:tcW w:type="dxa" w:w="2880"/>
          </w:tcPr>
          <w:p>
            <w:r>
              <w:rPr>
                <w:rFonts w:ascii="Times New Roman" w:hAnsi="Times New Roman" w:eastAsia="宋体"/>
                <w:b w:val="0"/>
                <w:sz w:val="21"/>
              </w:rPr>
              <w:t>应具有脆弱性分析等规程。</w:t>
            </w:r>
          </w:p>
        </w:tc>
        <w:tc>
          <w:tcPr>
            <w:tcW w:type="dxa" w:w="2880"/>
          </w:tcPr>
          <w:p>
            <w:r>
              <w:rPr>
                <w:rFonts w:ascii="Times New Roman" w:hAnsi="Times New Roman" w:eastAsia="宋体"/>
                <w:b w:val="0"/>
                <w:sz w:val="21"/>
              </w:rPr>
              <w:t>需人工</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9.1</w:t>
            </w:r>
          </w:p>
        </w:tc>
        <w:tc>
          <w:tcPr>
            <w:tcW w:type="dxa" w:w="2880"/>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9.2</w:t>
            </w:r>
          </w:p>
        </w:tc>
        <w:tc>
          <w:tcPr>
            <w:tcW w:type="dxa" w:w="2880"/>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9.3</w:t>
            </w:r>
          </w:p>
        </w:tc>
        <w:tc>
          <w:tcPr>
            <w:tcW w:type="dxa" w:w="2880"/>
          </w:tcPr>
          <w:p>
            <w:r>
              <w:rPr>
                <w:rFonts w:ascii="Times New Roman" w:hAnsi="Times New Roman" w:eastAsia="宋体"/>
                <w:b w:val="0"/>
                <w:sz w:val="21"/>
              </w:rPr>
              <w:t>应具有与实际情况相符且完整的安全保密策略文档和安全保密技术及产品配置的详细记录；</w:t>
            </w:r>
          </w:p>
        </w:tc>
        <w:tc>
          <w:tcPr>
            <w:tcW w:type="dxa" w:w="2880"/>
          </w:tcPr>
          <w:p>
            <w:r>
              <w:rPr>
                <w:rFonts w:ascii="Times New Roman" w:hAnsi="Times New Roman" w:eastAsia="宋体"/>
                <w:b w:val="0"/>
                <w:sz w:val="21"/>
              </w:rPr>
              <w:t>需人工</w:t>
            </w:r>
          </w:p>
        </w:tc>
      </w:tr>
      <w:tr>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2880"/>
          </w:tcPr>
          <w:p>
            <w:r>
              <w:rPr>
                <w:rFonts w:ascii="Times New Roman" w:hAnsi="Times New Roman" w:eastAsia="宋体"/>
                <w:b w:val="0"/>
                <w:sz w:val="21"/>
              </w:rPr>
              <w:t>需人工</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编号</w:t>
            </w:r>
          </w:p>
        </w:tc>
        <w:tc>
          <w:tcPr>
            <w:tcW w:type="dxa" w:w="2880"/>
          </w:tcPr>
          <w:p>
            <w:r>
              <w:rPr>
                <w:rFonts w:ascii="Times New Roman" w:hAnsi="Times New Roman" w:eastAsia="宋体"/>
                <w:b/>
                <w:sz w:val="21"/>
              </w:rPr>
              <w:t>检查项</w:t>
            </w:r>
          </w:p>
        </w:tc>
        <w:tc>
          <w:tcPr>
            <w:tcW w:type="dxa" w:w="2880"/>
          </w:tcPr>
          <w:p>
            <w:r>
              <w:rPr>
                <w:rFonts w:ascii="Times New Roman" w:hAnsi="Times New Roman" w:eastAsia="宋体"/>
                <w:b/>
                <w:sz w:val="21"/>
              </w:rPr>
              <w:t>验证结论</w:t>
            </w:r>
          </w:p>
        </w:tc>
      </w:tr>
      <w:tr>
        <w:tc>
          <w:tcPr>
            <w:tcW w:type="dxa" w:w="2880"/>
          </w:tcPr>
          <w:p>
            <w:r>
              <w:rPr>
                <w:rFonts w:ascii="Times New Roman" w:hAnsi="Times New Roman" w:eastAsia="宋体"/>
                <w:b w:val="0"/>
                <w:sz w:val="21"/>
              </w:rPr>
              <w:t>10.1</w:t>
            </w:r>
          </w:p>
        </w:tc>
        <w:tc>
          <w:tcPr>
            <w:tcW w:type="dxa" w:w="2880"/>
          </w:tcPr>
          <w:p>
            <w:r>
              <w:rPr>
                <w:rFonts w:ascii="Times New Roman" w:hAnsi="Times New Roman" w:eastAsia="宋体"/>
                <w:b w:val="0"/>
                <w:sz w:val="21"/>
              </w:rPr>
              <w:t>审计协议的机密性、完整性、认可性、不可否认性</w:t>
            </w:r>
          </w:p>
        </w:tc>
        <w:tc>
          <w:tcPr>
            <w:tcW w:type="dxa" w:w="2880"/>
          </w:tcPr>
          <w:p>
            <w:r>
              <w:rPr>
                <w:rFonts w:ascii="Times New Roman" w:hAnsi="Times New Roman" w:eastAsia="宋体"/>
                <w:b w:val="0"/>
                <w:sz w:val="21"/>
              </w:rPr>
              <w:t>可自动化</w:t>
            </w:r>
          </w:p>
        </w:tc>
      </w:tr>
    </w:tbl>
    <w:p>
      <w:pPr>
        <w:pStyle w:val="Heading2"/>
        <w:spacing w:before="240" w:after="120"/>
      </w:pPr>
      <w:r>
        <w:rPr>
          <w:rFonts w:ascii="Times New Roman" w:hAnsi="Times New Roman" w:eastAsia="黑体"/>
          <w:b/>
          <w:color w:val="000000"/>
          <w:sz w:val="28"/>
        </w:rPr>
        <w:t>五、说明</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事项</w:t>
            </w:r>
          </w:p>
        </w:tc>
        <w:tc>
          <w:tcPr>
            <w:tcW w:type="dxa" w:w="4320"/>
          </w:tcPr>
          <w:p>
            <w:r>
              <w:rPr>
                <w:rFonts w:ascii="Times New Roman" w:hAnsi="Times New Roman" w:eastAsia="宋体"/>
                <w:b/>
                <w:sz w:val="21"/>
              </w:rPr>
              <w:t>说明</w:t>
            </w:r>
          </w:p>
        </w:tc>
      </w:tr>
      <w:tr>
        <w:tc>
          <w:tcPr>
            <w:tcW w:type="dxa" w:w="4320"/>
          </w:tcPr>
          <w:p>
            <w:r>
              <w:rPr>
                <w:rFonts w:ascii="Times New Roman" w:hAnsi="Times New Roman" w:eastAsia="宋体"/>
                <w:b w:val="0"/>
                <w:sz w:val="21"/>
              </w:rPr>
              <w:t>人工核查范围</w:t>
            </w:r>
          </w:p>
        </w:tc>
        <w:tc>
          <w:tcPr>
            <w:tcW w:type="dxa" w:w="4320"/>
          </w:tcPr>
          <w:p>
            <w:r>
              <w:rPr>
                <w:rFonts w:ascii="Times New Roman" w:hAnsi="Times New Roman" w:eastAsia="宋体"/>
                <w:b w:val="0"/>
                <w:sz w:val="21"/>
              </w:rPr>
              <w:t>第 6 至 9 章（物理安全、组织机构、规章制度、管理实施）为现场查看与文档调阅类；第 1 至 5 章中涉及应用代码安全、渗透验证、业务架构与台账比对的检查项，按标准要求由人工完成核查。</w:t>
            </w:r>
          </w:p>
        </w:tc>
      </w:tr>
      <w:tr>
        <w:tc>
          <w:tcPr>
            <w:tcW w:type="dxa" w:w="4320"/>
          </w:tcPr>
          <w:p>
            <w:r>
              <w:rPr>
                <w:rFonts w:ascii="Times New Roman" w:hAnsi="Times New Roman" w:eastAsia="宋体"/>
                <w:b w:val="0"/>
                <w:sz w:val="21"/>
              </w:rPr>
              <w:t>网络设备核查方式</w:t>
            </w:r>
          </w:p>
        </w:tc>
        <w:tc>
          <w:tcPr>
            <w:tcW w:type="dxa" w:w="4320"/>
          </w:tcPr>
          <w:p>
            <w:r>
              <w:rPr>
                <w:rFonts w:ascii="Times New Roman" w:hAnsi="Times New Roman" w:eastAsia="宋体"/>
                <w:b w:val="0"/>
                <w:sz w:val="21"/>
              </w:rPr>
              <w:t>第 5 章按工具生成的命令清单，由运维人员登录交换机、防火墙等设备执行命令并留存回显，工具据此逐项判定并出具报告。</w:t>
            </w:r>
          </w:p>
        </w:tc>
      </w:tr>
      <w:tr>
        <w:tc>
          <w:tcPr>
            <w:tcW w:type="dxa" w:w="4320"/>
          </w:tcPr>
          <w:p>
            <w:r>
              <w:rPr>
                <w:rFonts w:ascii="Times New Roman" w:hAnsi="Times New Roman" w:eastAsia="宋体"/>
                <w:b w:val="0"/>
                <w:sz w:val="21"/>
              </w:rPr>
              <w:t>结果合并</w:t>
            </w:r>
          </w:p>
        </w:tc>
        <w:tc>
          <w:tcPr>
            <w:tcW w:type="dxa" w:w="4320"/>
          </w:tcPr>
          <w:p>
            <w:r>
              <w:rPr>
                <w:rFonts w:ascii="Times New Roman" w:hAnsi="Times New Roman" w:eastAsia="宋体"/>
                <w:b w:val="0"/>
                <w:sz w:val="21"/>
              </w:rPr>
              <w:t>核查工具与人工核查台采用同一套检查项编号与判定规则，两部分结果可直接合并汇总。</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