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报告日期：2026-09-10</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与自动化核查工具（Windows VBScript 版、麒麟 Bash 版、网络设备核查 check_network.sh）逐项比对，共核对 136 个编号检查项。以核查表勾选矩阵（√ 适用 / — 不适用）确定每项的适用对象，逐对象核对脚本自动判定能力：已实现 60 项，部分实现 76 项，未实现 0 项，自动化覆盖率 44.1%。</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已实现</w:t>
            </w:r>
          </w:p>
        </w:tc>
        <w:tc>
          <w:tcPr>
            <w:tcW w:type="dxa" w:w="2880"/>
          </w:tcPr>
          <w:p>
            <w:r>
              <w:rPr>
                <w:rFonts w:ascii="Times New Roman" w:hAnsi="Times New Roman" w:eastAsia="宋体"/>
                <w:b w:val="0"/>
                <w:sz w:val="21"/>
              </w:rPr>
              <w:t>60</w:t>
            </w:r>
          </w:p>
        </w:tc>
        <w:tc>
          <w:tcPr>
            <w:tcW w:type="dxa" w:w="2880"/>
          </w:tcPr>
          <w:p>
            <w:r>
              <w:rPr>
                <w:rFonts w:ascii="Times New Roman" w:hAnsi="Times New Roman" w:eastAsia="宋体"/>
                <w:b w:val="0"/>
                <w:sz w:val="21"/>
              </w:rPr>
              <w:t>44.1%</w:t>
            </w:r>
          </w:p>
        </w:tc>
      </w:tr>
      <w:tr>
        <w:tc>
          <w:tcPr>
            <w:tcW w:type="dxa" w:w="2880"/>
          </w:tcPr>
          <w:p>
            <w:r>
              <w:rPr>
                <w:rFonts w:ascii="Times New Roman" w:hAnsi="Times New Roman" w:eastAsia="宋体"/>
                <w:b w:val="0"/>
                <w:sz w:val="21"/>
              </w:rPr>
              <w:t>部分实现</w:t>
            </w:r>
          </w:p>
        </w:tc>
        <w:tc>
          <w:tcPr>
            <w:tcW w:type="dxa" w:w="2880"/>
          </w:tcPr>
          <w:p>
            <w:r>
              <w:rPr>
                <w:rFonts w:ascii="Times New Roman" w:hAnsi="Times New Roman" w:eastAsia="宋体"/>
                <w:b w:val="0"/>
                <w:sz w:val="21"/>
              </w:rPr>
              <w:t>76</w:t>
            </w:r>
          </w:p>
        </w:tc>
        <w:tc>
          <w:tcPr>
            <w:tcW w:type="dxa" w:w="2880"/>
          </w:tcPr>
          <w:p>
            <w:r>
              <w:rPr>
                <w:rFonts w:ascii="Times New Roman" w:hAnsi="Times New Roman" w:eastAsia="宋体"/>
                <w:b w:val="0"/>
                <w:sz w:val="21"/>
              </w:rPr>
              <w:t>55.9%</w:t>
            </w:r>
          </w:p>
        </w:tc>
      </w:tr>
      <w:tr>
        <w:tc>
          <w:tcPr>
            <w:tcW w:type="dxa" w:w="2880"/>
          </w:tcPr>
          <w:p>
            <w:r>
              <w:rPr>
                <w:rFonts w:ascii="Times New Roman" w:hAnsi="Times New Roman" w:eastAsia="宋体"/>
                <w:b w:val="0"/>
                <w:sz w:val="21"/>
              </w:rPr>
              <w:t>未实现</w:t>
            </w:r>
          </w:p>
        </w:tc>
        <w:tc>
          <w:tcPr>
            <w:tcW w:type="dxa" w:w="2880"/>
          </w:tcPr>
          <w:p>
            <w:r>
              <w:rPr>
                <w:rFonts w:ascii="Times New Roman" w:hAnsi="Times New Roman" w:eastAsia="宋体"/>
                <w:b w:val="0"/>
                <w:sz w:val="21"/>
              </w:rPr>
              <w:t>0</w:t>
            </w:r>
          </w:p>
        </w:tc>
        <w:tc>
          <w:tcPr>
            <w:tcW w:type="dxa" w:w="2880"/>
          </w:tcPr>
          <w:p>
            <w:r>
              <w:rPr>
                <w:rFonts w:ascii="Times New Roman" w:hAnsi="Times New Roman" w:eastAsia="宋体"/>
                <w:b w:val="0"/>
                <w:sz w:val="21"/>
              </w:rPr>
              <w:t>0.0%</w:t>
            </w:r>
          </w:p>
        </w:tc>
      </w:tr>
    </w:tbl>
    <w:p>
      <w:pPr>
        <w:spacing w:line="360" w:lineRule="auto"/>
        <w:ind w:firstLine="420"/>
      </w:pPr>
      <w:r>
        <w:rPr>
          <w:rFonts w:ascii="Times New Roman" w:hAnsi="Times New Roman" w:eastAsia="宋体"/>
          <w:b w:val="0"/>
          <w:sz w:val="21"/>
        </w:rPr>
        <w:t>部分实现 76 项按原因分布：一侧 OS 平台待补自动判定 16 项（麒麟侧 15、Windows 侧 1）、部分组件对象待补 6 项（达梦、SQL Server、Redis 侧人工）、适用对象均需人工 20 项、第 5 章部分信号+台账比对 3 项、第 5 章台账/平台类 9 项、第 6-9 章现场文档类 22 项。</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章、136 个编号检查项（交付包内的 v2.0.1 为同内容版本，另含第 5 章 13 张终端操作截图）。</w:t>
      </w:r>
    </w:p>
    <w:p>
      <w:pPr>
        <w:pStyle w:val="ListBullet"/>
      </w:pPr>
      <w:r>
        <w:rPr>
          <w:rFonts w:ascii="Times New Roman" w:hAnsi="Times New Roman" w:eastAsia="宋体"/>
          <w:b w:val="0"/>
          <w:sz w:val="21"/>
        </w:rPr>
        <w:t>核查工具：15 个脚本。操作系统核查 2 个（Windows、麒麟各 1），数据库与中间件核查 12 个（MySQL、Redis、达梦 DM、SQL Server、Nginx、Tomcat，两平台各 6），网络设备核查 1 个（check_network.sh，采集-解析模式，覆盖第 5 章 23 项）。</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提取全部编号检查项，从各脚本源码提取检查结果记录点（add_result/AddResult 的编号与判定状态）。每项的适用对象以核查表勾选矩阵为准（√ 适用 / — 不适用）：Windows/WinXP 对应 check_xp7.vbs、中标/银河麒麟对应 check_kylin.sh、各数据库与中间件对应双平台组件脚本（任一平台有自动判定分支即计该对象可自动）、网络设备对应 check_network.sh。按对象逐项比对，检查项的实现状态以脚本实际输出的判定（合格/不合格/需人工）为准。</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已实现</w:t>
            </w:r>
          </w:p>
        </w:tc>
        <w:tc>
          <w:tcPr>
            <w:tcW w:type="dxa" w:w="4320"/>
          </w:tcPr>
          <w:p>
            <w:r>
              <w:rPr>
                <w:rFonts w:ascii="Times New Roman" w:hAnsi="Times New Roman" w:eastAsia="宋体"/>
                <w:b w:val="0"/>
                <w:sz w:val="21"/>
              </w:rPr>
              <w:t>该项在核查表中勾选的全部适用对象，核查脚本均能自动给出合格或不合格判定</w:t>
            </w:r>
          </w:p>
        </w:tc>
      </w:tr>
      <w:tr>
        <w:tc>
          <w:tcPr>
            <w:tcW w:type="dxa" w:w="4320"/>
          </w:tcPr>
          <w:p>
            <w:r>
              <w:rPr>
                <w:rFonts w:ascii="Times New Roman" w:hAnsi="Times New Roman" w:eastAsia="宋体"/>
                <w:b w:val="0"/>
                <w:sz w:val="21"/>
              </w:rPr>
              <w:t>部分实现</w:t>
            </w:r>
          </w:p>
        </w:tc>
        <w:tc>
          <w:tcPr>
            <w:tcW w:type="dxa" w:w="4320"/>
          </w:tcPr>
          <w:p>
            <w:r>
              <w:rPr>
                <w:rFonts w:ascii="Times New Roman" w:hAnsi="Times New Roman" w:eastAsia="宋体"/>
                <w:b w:val="0"/>
                <w:sz w:val="21"/>
              </w:rPr>
              <w:t>适用对象中仅部分可自动判定（其余对象或一侧平台需人工）；或脚本虽覆盖但仅输出核查方法、结论需人工确认</w:t>
            </w:r>
          </w:p>
        </w:tc>
      </w:tr>
      <w:tr>
        <w:tc>
          <w:tcPr>
            <w:tcW w:type="dxa" w:w="4320"/>
          </w:tcPr>
          <w:p>
            <w:r>
              <w:rPr>
                <w:rFonts w:ascii="Times New Roman" w:hAnsi="Times New Roman" w:eastAsia="宋体"/>
                <w:b w:val="0"/>
                <w:sz w:val="21"/>
              </w:rPr>
              <w:t>未实现</w:t>
            </w:r>
          </w:p>
        </w:tc>
        <w:tc>
          <w:tcPr>
            <w:tcW w:type="dxa" w:w="4320"/>
          </w:tcPr>
          <w:p>
            <w:r>
              <w:rPr>
                <w:rFonts w:ascii="Times New Roman" w:hAnsi="Times New Roman" w:eastAsia="宋体"/>
                <w:b w:val="0"/>
                <w:sz w:val="21"/>
              </w:rPr>
              <w:t>无任何脚本覆盖该项</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已实现</w:t>
            </w:r>
          </w:p>
        </w:tc>
        <w:tc>
          <w:tcPr>
            <w:tcW w:type="dxa" w:w="1728"/>
          </w:tcPr>
          <w:p>
            <w:r>
              <w:rPr>
                <w:rFonts w:ascii="Times New Roman" w:hAnsi="Times New Roman" w:eastAsia="宋体"/>
                <w:b/>
                <w:sz w:val="21"/>
              </w:rPr>
              <w:t>部分实现</w:t>
            </w:r>
          </w:p>
        </w:tc>
        <w:tc>
          <w:tcPr>
            <w:tcW w:type="dxa" w:w="1728"/>
          </w:tcPr>
          <w:p>
            <w:r>
              <w:rPr>
                <w:rFonts w:ascii="Times New Roman" w:hAnsi="Times New Roman" w:eastAsia="宋体"/>
                <w:b/>
                <w:sz w:val="21"/>
              </w:rPr>
              <w:t>未实现</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Windows、麒麟、Nginx、Tomcat、MySQL、SQL Server、达梦、Redis</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Windows、麒麟、Nginx、Tomcat、MySQL、SQL Server、Redis 可自动判定；达梦 需人工</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MySQL、SQL Server、Redis 可自动判定；达梦 需人工</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MySQL、SQL Server、达梦</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Nginx、Tomcat</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MySQL、达梦、Redis 可自动判定；SQL Server 需人工</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MySQL、SQL Server 可自动判定；达梦、Redis 需人工</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MySQL、SQL Server、达梦、Redis</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Windows、麒麟、MySQL 可自动判定；SQL Server、达梦、Redis 需人工</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Windows、MySQL、SQL Server、达梦、Redis 可自动判定；麒麟 需人工</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正版/定制软件认定需人工核对采购与授权凭证（核查表未设行）</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Windows、麒麟、MySQL、SQL Server、Redis 可自动判定；达梦 需人工</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未勾选核查对象（载体销毁类条目），脚本输出核查方法，结论需人工</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Windows 可自动判定；麒麟 需人工</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麒麟 可自动判定；Windows 需人工</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脚本输出核查方法，结论需人工确认</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适用对象均自动判定</w:t>
            </w:r>
          </w:p>
        </w:tc>
      </w:tr>
    </w:tbl>
    <w:p>
      <w:pPr>
        <w:pStyle w:val="Heading3"/>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5.1</w:t>
            </w:r>
          </w:p>
        </w:tc>
        <w:tc>
          <w:tcPr>
            <w:tcW w:type="dxa" w:w="1728"/>
          </w:tcPr>
          <w:p>
            <w:r>
              <w:rPr>
                <w:rFonts w:ascii="Times New Roman" w:hAnsi="Times New Roman" w:eastAsia="宋体"/>
                <w:b w:val="0"/>
                <w:sz w:val="21"/>
              </w:rPr>
              <w:t>JD网络跨网跨域数据交换时应按规定流程进行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5.2</w:t>
            </w:r>
          </w:p>
        </w:tc>
        <w:tc>
          <w:tcPr>
            <w:tcW w:type="dxa" w:w="1728"/>
          </w:tcPr>
          <w:p>
            <w:r>
              <w:rPr>
                <w:rFonts w:ascii="Times New Roman" w:hAnsi="Times New Roman" w:eastAsia="宋体"/>
                <w:b w:val="0"/>
                <w:sz w:val="21"/>
              </w:rPr>
              <w:t>利用无线网络技术构建高防护等级网络时应按规定流程执行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5.3</w:t>
            </w:r>
          </w:p>
        </w:tc>
        <w:tc>
          <w:tcPr>
            <w:tcW w:type="dxa" w:w="1728"/>
          </w:tcPr>
          <w:p>
            <w:r>
              <w:rPr>
                <w:rFonts w:ascii="Times New Roman" w:hAnsi="Times New Roman" w:eastAsia="宋体"/>
                <w:b w:val="0"/>
                <w:sz w:val="21"/>
              </w:rPr>
              <w:t>应按最小化原则设计网络架构</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5.4</w:t>
            </w:r>
          </w:p>
        </w:tc>
        <w:tc>
          <w:tcPr>
            <w:tcW w:type="dxa" w:w="1728"/>
          </w:tcPr>
          <w:p>
            <w:r>
              <w:rPr>
                <w:rFonts w:ascii="Times New Roman" w:hAnsi="Times New Roman" w:eastAsia="宋体"/>
                <w:b w:val="0"/>
                <w:sz w:val="21"/>
              </w:rPr>
              <w:t>网络边界物理互联节点、路由协议与路由地址网段应满足最小化原则</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5.5</w:t>
            </w:r>
          </w:p>
        </w:tc>
        <w:tc>
          <w:tcPr>
            <w:tcW w:type="dxa" w:w="1728"/>
          </w:tcPr>
          <w:p>
            <w:r>
              <w:rPr>
                <w:rFonts w:ascii="Times New Roman" w:hAnsi="Times New Roman" w:eastAsia="宋体"/>
                <w:b w:val="0"/>
                <w:sz w:val="21"/>
              </w:rPr>
              <w:t>局域网内部应根据业务性质划分安全区域</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5.6</w:t>
            </w:r>
          </w:p>
        </w:tc>
        <w:tc>
          <w:tcPr>
            <w:tcW w:type="dxa" w:w="1728"/>
          </w:tcPr>
          <w:p>
            <w:r>
              <w:rPr>
                <w:rFonts w:ascii="Times New Roman" w:hAnsi="Times New Roman" w:eastAsia="宋体"/>
                <w:b w:val="0"/>
                <w:sz w:val="21"/>
              </w:rPr>
              <w:t>网络设备应按最小化原则进行远程管理、账户设置、访问控制等安全配置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5.7</w:t>
            </w:r>
          </w:p>
        </w:tc>
        <w:tc>
          <w:tcPr>
            <w:tcW w:type="dxa" w:w="1728"/>
          </w:tcPr>
          <w:p>
            <w:r>
              <w:rPr>
                <w:rFonts w:ascii="Times New Roman" w:hAnsi="Times New Roman" w:eastAsia="宋体"/>
                <w:b w:val="0"/>
                <w:sz w:val="21"/>
              </w:rPr>
              <w:t>网络设备应开放唯一网络管理服务并限制管理终端访问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5.8</w:t>
            </w:r>
          </w:p>
        </w:tc>
        <w:tc>
          <w:tcPr>
            <w:tcW w:type="dxa" w:w="1728"/>
          </w:tcPr>
          <w:p>
            <w:r>
              <w:rPr>
                <w:rFonts w:ascii="Times New Roman" w:hAnsi="Times New Roman" w:eastAsia="宋体"/>
                <w:b w:val="0"/>
                <w:sz w:val="21"/>
              </w:rPr>
              <w:t>远程管理网络设备与安全防护设备应采用加密保护的管理服务</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5.9</w:t>
            </w:r>
          </w:p>
        </w:tc>
        <w:tc>
          <w:tcPr>
            <w:tcW w:type="dxa" w:w="1728"/>
          </w:tcPr>
          <w:p>
            <w:r>
              <w:rPr>
                <w:rFonts w:ascii="Times New Roman" w:hAnsi="Times New Roman" w:eastAsia="宋体"/>
                <w:b w:val="0"/>
                <w:sz w:val="21"/>
              </w:rPr>
              <w:t>同链路相同安全功能的防护设备应使用不同架构或不同品牌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脚本提取部分信号（型号/存储网/端口闲置率），结论需台账比对</w:t>
            </w:r>
          </w:p>
        </w:tc>
      </w:tr>
      <w:tr>
        <w:tc>
          <w:tcPr>
            <w:tcW w:type="dxa" w:w="1728"/>
          </w:tcPr>
          <w:p>
            <w:r>
              <w:rPr>
                <w:rFonts w:ascii="Times New Roman" w:hAnsi="Times New Roman" w:eastAsia="宋体"/>
                <w:b w:val="0"/>
                <w:sz w:val="21"/>
              </w:rPr>
              <w:t>5.10</w:t>
            </w:r>
          </w:p>
        </w:tc>
        <w:tc>
          <w:tcPr>
            <w:tcW w:type="dxa" w:w="1728"/>
          </w:tcPr>
          <w:p>
            <w:r>
              <w:rPr>
                <w:rFonts w:ascii="Times New Roman" w:hAnsi="Times New Roman" w:eastAsia="宋体"/>
                <w:b w:val="0"/>
                <w:sz w:val="21"/>
              </w:rPr>
              <w:t>应对组播源、组播地址、组播成员采取控制措施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5.11</w:t>
            </w:r>
          </w:p>
        </w:tc>
        <w:tc>
          <w:tcPr>
            <w:tcW w:type="dxa" w:w="1728"/>
          </w:tcPr>
          <w:p>
            <w:r>
              <w:rPr>
                <w:rFonts w:ascii="Times New Roman" w:hAnsi="Times New Roman" w:eastAsia="宋体"/>
                <w:b w:val="0"/>
                <w:sz w:val="21"/>
              </w:rPr>
              <w:t>重要网络设备和网络安全防护设备应有备份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5.12</w:t>
            </w:r>
          </w:p>
        </w:tc>
        <w:tc>
          <w:tcPr>
            <w:tcW w:type="dxa" w:w="1728"/>
          </w:tcPr>
          <w:p>
            <w:r>
              <w:rPr>
                <w:rFonts w:ascii="Times New Roman" w:hAnsi="Times New Roman" w:eastAsia="宋体"/>
                <w:b w:val="0"/>
                <w:sz w:val="21"/>
              </w:rPr>
              <w:t>远程传输应采取两层加密保护措施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5.13</w:t>
            </w:r>
          </w:p>
        </w:tc>
        <w:tc>
          <w:tcPr>
            <w:tcW w:type="dxa" w:w="1728"/>
          </w:tcPr>
          <w:p>
            <w:r>
              <w:rPr>
                <w:rFonts w:ascii="Times New Roman" w:hAnsi="Times New Roman" w:eastAsia="宋体"/>
                <w:b w:val="0"/>
                <w:sz w:val="21"/>
              </w:rPr>
              <w:t>应设立网络安全管理中心并指定管理终端</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5.14</w:t>
            </w:r>
          </w:p>
        </w:tc>
        <w:tc>
          <w:tcPr>
            <w:tcW w:type="dxa" w:w="1728"/>
          </w:tcPr>
          <w:p>
            <w:r>
              <w:rPr>
                <w:rFonts w:ascii="Times New Roman" w:hAnsi="Times New Roman" w:eastAsia="宋体"/>
                <w:b w:val="0"/>
                <w:sz w:val="21"/>
              </w:rPr>
              <w:t>与互联网等外部网络应按等级采取物理或逻辑隔离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5.15</w:t>
            </w:r>
          </w:p>
        </w:tc>
        <w:tc>
          <w:tcPr>
            <w:tcW w:type="dxa" w:w="1728"/>
          </w:tcPr>
          <w:p>
            <w:r>
              <w:rPr>
                <w:rFonts w:ascii="Times New Roman" w:hAnsi="Times New Roman" w:eastAsia="宋体"/>
                <w:b w:val="0"/>
                <w:sz w:val="21"/>
              </w:rPr>
              <w:t>不同用途网络之间应通过防护设备加强逻辑隔离并具备攻击告警审计阻断能力</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5.16</w:t>
            </w:r>
          </w:p>
        </w:tc>
        <w:tc>
          <w:tcPr>
            <w:tcW w:type="dxa" w:w="1728"/>
          </w:tcPr>
          <w:p>
            <w:r>
              <w:rPr>
                <w:rFonts w:ascii="Times New Roman" w:hAnsi="Times New Roman" w:eastAsia="宋体"/>
                <w:b w:val="0"/>
                <w:sz w:val="21"/>
              </w:rPr>
              <w:t>局域网各安全区域之间及主机之间应采取全网细粒度访问控制</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5.17</w:t>
            </w:r>
          </w:p>
        </w:tc>
        <w:tc>
          <w:tcPr>
            <w:tcW w:type="dxa" w:w="1728"/>
          </w:tcPr>
          <w:p>
            <w:r>
              <w:rPr>
                <w:rFonts w:ascii="Times New Roman" w:hAnsi="Times New Roman" w:eastAsia="宋体"/>
                <w:b w:val="0"/>
                <w:sz w:val="21"/>
              </w:rPr>
              <w:t>远程租用线路传输应采取三层加密保护措施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5.18</w:t>
            </w:r>
          </w:p>
        </w:tc>
        <w:tc>
          <w:tcPr>
            <w:tcW w:type="dxa" w:w="1728"/>
          </w:tcPr>
          <w:p>
            <w:r>
              <w:rPr>
                <w:rFonts w:ascii="Times New Roman" w:hAnsi="Times New Roman" w:eastAsia="宋体"/>
                <w:b w:val="0"/>
                <w:sz w:val="21"/>
              </w:rPr>
              <w:t>应采取不低于802.1x认证强度的接入认证措施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5.19</w:t>
            </w:r>
          </w:p>
        </w:tc>
        <w:tc>
          <w:tcPr>
            <w:tcW w:type="dxa" w:w="1728"/>
          </w:tcPr>
          <w:p>
            <w:r>
              <w:rPr>
                <w:rFonts w:ascii="Times New Roman" w:hAnsi="Times New Roman" w:eastAsia="宋体"/>
                <w:b w:val="0"/>
                <w:sz w:val="21"/>
              </w:rPr>
              <w:t>用户计算机之间应逻辑隔离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5.20</w:t>
            </w:r>
          </w:p>
        </w:tc>
        <w:tc>
          <w:tcPr>
            <w:tcW w:type="dxa" w:w="1728"/>
          </w:tcPr>
          <w:p>
            <w:r>
              <w:rPr>
                <w:rFonts w:ascii="Times New Roman" w:hAnsi="Times New Roman" w:eastAsia="宋体"/>
                <w:b w:val="0"/>
                <w:sz w:val="21"/>
              </w:rPr>
              <w:t>应具备全网行为审计记录能力且审计日志至少保留180天</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5.21</w:t>
            </w:r>
          </w:p>
        </w:tc>
        <w:tc>
          <w:tcPr>
            <w:tcW w:type="dxa" w:w="1728"/>
          </w:tcPr>
          <w:p>
            <w:r>
              <w:rPr>
                <w:rFonts w:ascii="Times New Roman" w:hAnsi="Times New Roman" w:eastAsia="宋体"/>
                <w:b w:val="0"/>
                <w:sz w:val="21"/>
              </w:rPr>
              <w:t>应对全网攻击与违规行为采取实时监视报警审计控制阻断定位措施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5.22</w:t>
            </w:r>
          </w:p>
        </w:tc>
        <w:tc>
          <w:tcPr>
            <w:tcW w:type="dxa" w:w="1728"/>
          </w:tcPr>
          <w:p>
            <w:r>
              <w:rPr>
                <w:rFonts w:ascii="Times New Roman" w:hAnsi="Times New Roman" w:eastAsia="宋体"/>
                <w:b w:val="0"/>
                <w:sz w:val="21"/>
              </w:rPr>
              <w:t>数据存储系统的管理网络与应用网络应逻辑隔离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脚本提取部分信号（型号/存储网/端口闲置率），结论需台账比对</w:t>
            </w:r>
          </w:p>
        </w:tc>
      </w:tr>
      <w:tr>
        <w:tc>
          <w:tcPr>
            <w:tcW w:type="dxa" w:w="1728"/>
          </w:tcPr>
          <w:p>
            <w:r>
              <w:rPr>
                <w:rFonts w:ascii="Times New Roman" w:hAnsi="Times New Roman" w:eastAsia="宋体"/>
                <w:b w:val="0"/>
                <w:sz w:val="21"/>
              </w:rPr>
              <w:t>5.23</w:t>
            </w:r>
          </w:p>
        </w:tc>
        <w:tc>
          <w:tcPr>
            <w:tcW w:type="dxa" w:w="1728"/>
          </w:tcPr>
          <w:p>
            <w:r>
              <w:rPr>
                <w:rFonts w:ascii="Times New Roman" w:hAnsi="Times New Roman" w:eastAsia="宋体"/>
                <w:b w:val="0"/>
                <w:sz w:val="21"/>
              </w:rPr>
              <w:t>检查网络设备配备的合理性与必要性</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脚本提取部分信号（型号/存储网/端口闲置率），结论需台账比对</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现场/文档/台账类核查，需人工</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脚本自动核查 TLS/SSH 协议版本（协议层条目，勾选矩阵未单列对象）</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网络安全（第 5 章）</w:t>
      </w:r>
    </w:p>
    <w:p>
      <w:pPr>
        <w:spacing w:line="360" w:lineRule="auto"/>
        <w:ind w:firstLine="420"/>
      </w:pPr>
      <w:r>
        <w:rPr>
          <w:rFonts w:ascii="Times New Roman" w:hAnsi="Times New Roman" w:eastAsia="宋体"/>
          <w:b w:val="0"/>
          <w:sz w:val="21"/>
        </w:rPr>
        <w:t>第 5 章「网络安全」23 项：指导书已按核查表补写小节（23 节、133 段方法），脚本侧为 check_network.sh（采集-解析模式：init 生成华为/华三/锐捷三厂商命令清单模板，运维陪同登录设备采集回显后 check 解析判定）。23 项分三类：设备命令回显类 11 项（5.3 至 5.8、5.10、5.11、5.16、5.18、5.19）脚本自动判定，记为已实现；5.9 异构部署、5.22 存储网分离、5.23 配备合理性 3 项，脚本可提取部分信号（设备型号、存储网划分、端口闲置率），结论需台账比对；其余 9 项（5.1、5.2、5.12 至 5.15、5.17、5.20、5.21）为审批记录、方案文档与平台界面类核查，需人工确认。该划分与核查表第 13 列「工具自动验证」的标注一一对应。</w:t>
      </w:r>
    </w:p>
    <w:p>
      <w:pPr>
        <w:pStyle w:val="Heading3"/>
        <w:spacing w:before="160" w:after="120"/>
      </w:pPr>
      <w:r>
        <w:rPr>
          <w:rFonts w:ascii="Times New Roman" w:hAnsi="Times New Roman" w:eastAsia="黑体"/>
          <w:b/>
          <w:color w:val="000000"/>
          <w:sz w:val="24"/>
        </w:rPr>
        <w:t>5.2 部分实现项的原因分布</w:t>
      </w:r>
    </w:p>
    <w:p>
      <w:pPr>
        <w:spacing w:line="360" w:lineRule="auto"/>
        <w:ind w:firstLine="420"/>
      </w:pPr>
      <w:r>
        <w:rPr>
          <w:rFonts w:ascii="Times New Roman" w:hAnsi="Times New Roman" w:eastAsia="宋体"/>
          <w:b w:val="0"/>
          <w:sz w:val="21"/>
        </w:rPr>
        <w:t>共 76 项为部分实现，按原因分布如下：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原因类别</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第6-9章现场/文档类</w:t>
            </w:r>
          </w:p>
        </w:tc>
        <w:tc>
          <w:tcPr>
            <w:tcW w:type="dxa" w:w="4320"/>
          </w:tcPr>
          <w:p>
            <w:r>
              <w:rPr>
                <w:rFonts w:ascii="Times New Roman" w:hAnsi="Times New Roman" w:eastAsia="宋体"/>
                <w:b w:val="0"/>
                <w:sz w:val="21"/>
              </w:rPr>
              <w:t>22</w:t>
            </w:r>
          </w:p>
        </w:tc>
      </w:tr>
      <w:tr>
        <w:tc>
          <w:tcPr>
            <w:tcW w:type="dxa" w:w="4320"/>
          </w:tcPr>
          <w:p>
            <w:r>
              <w:rPr>
                <w:rFonts w:ascii="Times New Roman" w:hAnsi="Times New Roman" w:eastAsia="宋体"/>
                <w:b w:val="0"/>
                <w:sz w:val="21"/>
              </w:rPr>
              <w:t>适用对象均需人工（脚本仅方法输出）</w:t>
            </w:r>
          </w:p>
        </w:tc>
        <w:tc>
          <w:tcPr>
            <w:tcW w:type="dxa" w:w="4320"/>
          </w:tcPr>
          <w:p>
            <w:r>
              <w:rPr>
                <w:rFonts w:ascii="Times New Roman" w:hAnsi="Times New Roman" w:eastAsia="宋体"/>
                <w:b w:val="0"/>
                <w:sz w:val="21"/>
              </w:rPr>
              <w:t>20</w:t>
            </w:r>
          </w:p>
        </w:tc>
      </w:tr>
      <w:tr>
        <w:tc>
          <w:tcPr>
            <w:tcW w:type="dxa" w:w="4320"/>
          </w:tcPr>
          <w:p>
            <w:r>
              <w:rPr>
                <w:rFonts w:ascii="Times New Roman" w:hAnsi="Times New Roman" w:eastAsia="宋体"/>
                <w:b w:val="0"/>
                <w:sz w:val="21"/>
              </w:rPr>
              <w:t>一侧 OS 平台待补自动判定</w:t>
            </w:r>
          </w:p>
        </w:tc>
        <w:tc>
          <w:tcPr>
            <w:tcW w:type="dxa" w:w="4320"/>
          </w:tcPr>
          <w:p>
            <w:r>
              <w:rPr>
                <w:rFonts w:ascii="Times New Roman" w:hAnsi="Times New Roman" w:eastAsia="宋体"/>
                <w:b w:val="0"/>
                <w:sz w:val="21"/>
              </w:rPr>
              <w:t>16</w:t>
            </w:r>
          </w:p>
        </w:tc>
      </w:tr>
      <w:tr>
        <w:tc>
          <w:tcPr>
            <w:tcW w:type="dxa" w:w="4320"/>
          </w:tcPr>
          <w:p>
            <w:r>
              <w:rPr>
                <w:rFonts w:ascii="Times New Roman" w:hAnsi="Times New Roman" w:eastAsia="宋体"/>
                <w:b w:val="0"/>
                <w:sz w:val="21"/>
              </w:rPr>
              <w:t>第5章审批/台账/平台类（需人工）</w:t>
            </w:r>
          </w:p>
        </w:tc>
        <w:tc>
          <w:tcPr>
            <w:tcW w:type="dxa" w:w="4320"/>
          </w:tcPr>
          <w:p>
            <w:r>
              <w:rPr>
                <w:rFonts w:ascii="Times New Roman" w:hAnsi="Times New Roman" w:eastAsia="宋体"/>
                <w:b w:val="0"/>
                <w:sz w:val="21"/>
              </w:rPr>
              <w:t>9</w:t>
            </w:r>
          </w:p>
        </w:tc>
      </w:tr>
      <w:tr>
        <w:tc>
          <w:tcPr>
            <w:tcW w:type="dxa" w:w="4320"/>
          </w:tcPr>
          <w:p>
            <w:r>
              <w:rPr>
                <w:rFonts w:ascii="Times New Roman" w:hAnsi="Times New Roman" w:eastAsia="宋体"/>
                <w:b w:val="0"/>
                <w:sz w:val="21"/>
              </w:rPr>
              <w:t>部分组件对象待补（其余对象需人工）</w:t>
            </w:r>
          </w:p>
        </w:tc>
        <w:tc>
          <w:tcPr>
            <w:tcW w:type="dxa" w:w="4320"/>
          </w:tcPr>
          <w:p>
            <w:r>
              <w:rPr>
                <w:rFonts w:ascii="Times New Roman" w:hAnsi="Times New Roman" w:eastAsia="宋体"/>
                <w:b w:val="0"/>
                <w:sz w:val="21"/>
              </w:rPr>
              <w:t>6</w:t>
            </w:r>
          </w:p>
        </w:tc>
      </w:tr>
      <w:tr>
        <w:tc>
          <w:tcPr>
            <w:tcW w:type="dxa" w:w="4320"/>
          </w:tcPr>
          <w:p>
            <w:r>
              <w:rPr>
                <w:rFonts w:ascii="Times New Roman" w:hAnsi="Times New Roman" w:eastAsia="宋体"/>
                <w:b w:val="0"/>
                <w:sz w:val="21"/>
              </w:rPr>
              <w:t>第5章部分信号+台账比对</w:t>
            </w:r>
          </w:p>
        </w:tc>
        <w:tc>
          <w:tcPr>
            <w:tcW w:type="dxa" w:w="4320"/>
          </w:tcPr>
          <w:p>
            <w:r>
              <w:rPr>
                <w:rFonts w:ascii="Times New Roman" w:hAnsi="Times New Roman" w:eastAsia="宋体"/>
                <w:b w:val="0"/>
                <w:sz w:val="21"/>
              </w:rPr>
              <w:t>3</w:t>
            </w:r>
          </w:p>
        </w:tc>
      </w:tr>
    </w:tbl>
    <w:p>
      <w:pPr>
        <w:pStyle w:val="Heading3"/>
        <w:spacing w:before="160" w:after="120"/>
      </w:pPr>
      <w:r>
        <w:rPr>
          <w:rFonts w:ascii="Times New Roman" w:hAnsi="Times New Roman" w:eastAsia="黑体"/>
          <w:b/>
          <w:color w:val="000000"/>
          <w:sz w:val="24"/>
        </w:rPr>
        <w:t>5.3 部分实现项的整改性质</w:t>
      </w:r>
    </w:p>
    <w:p>
      <w:pPr>
        <w:spacing w:line="360" w:lineRule="auto"/>
        <w:ind w:firstLine="420"/>
      </w:pPr>
      <w:r>
        <w:rPr>
          <w:rFonts w:ascii="Times New Roman" w:hAnsi="Times New Roman" w:eastAsia="宋体"/>
          <w:b w:val="0"/>
          <w:sz w:val="21"/>
        </w:rPr>
        <w:t>这 76 项部分实现，一半本来就是只能人工的，脚本标 manual 是合理的；另一半补上对应平台或组件的自动判定后即可转为已实现。</w:t>
      </w:r>
    </w:p>
    <w:p>
      <w:pPr>
        <w:spacing w:line="360" w:lineRule="auto"/>
        <w:ind w:firstLine="420"/>
      </w:pPr>
      <w:r>
        <w:rPr>
          <w:rFonts w:ascii="Times New Roman" w:hAnsi="Times New Roman" w:eastAsia="宋体"/>
          <w:b w:val="0"/>
          <w:sz w:val="21"/>
        </w:rPr>
        <w:t>只能人工的：第 6 至 9 章（物理、组织、制度、管理）22 项，要到机房看设备台账、翻组织文件、核对制度版本和演练记录。第 5 章台账/平台类 9 项，是跨网审批单、方案文档与平台界面核查。适用对象均需人工的 20 项（1.13、1.16、1.22、1.27、3.4、3.12、3.14、4.1、4.5、4.9、4.10、4.13、4.15、4.20、4.21、4.26、4.27、4.28、4.29、4.32），涉及应用层代码能力、物理销毁过程与文档台账比对。</w:t>
      </w:r>
    </w:p>
    <w:p>
      <w:pPr>
        <w:spacing w:line="360" w:lineRule="auto"/>
        <w:ind w:firstLine="420"/>
      </w:pPr>
      <w:r>
        <w:rPr>
          <w:rFonts w:ascii="Times New Roman" w:hAnsi="Times New Roman" w:eastAsia="宋体"/>
          <w:b w:val="0"/>
          <w:sz w:val="21"/>
        </w:rPr>
        <w:t>还能自动化的：一侧 OS 平台待补 16 项——麒麟侧 2.2、2.5、2.6、2.8、2.15、3.8、3.10、4.6、4.8、4.11、4.12、4.17、4.23、4.24、1.25（Windows 侧脚本已能自动判定，麒麟侧脚本仅输出核查方法），Windows 侧 4.31（与前者相反）；补齐对应平台脚本即可全对象自动。组件对象待补 6 项（1.1、1.8、1.20、1.21、1.24、2.16）——达梦侧 6 处、SQL Server 侧 2 处、Redis 侧 2 处仅人工，补齐组件脚本判定分支即可。</w:t>
      </w:r>
    </w:p>
    <w:p>
      <w:pPr>
        <w:spacing w:line="360" w:lineRule="auto"/>
        <w:ind w:firstLine="420"/>
      </w:pPr>
      <w:r>
        <w:rPr>
          <w:rFonts w:ascii="Times New Roman" w:hAnsi="Times New Roman" w:eastAsia="宋体"/>
          <w:b w:val="0"/>
          <w:sz w:val="21"/>
        </w:rPr>
        <w:t>2.3 应用口令、3.6 边界防泄漏此前仅标「不适用」，此前会话已补真实检测：2.3 核查空口令账户与图形界面自动登录（/etc/shadow、lightdm/sddm/gdm、注册表 AutoAdminLogon/LimitBlankPasswordUse），3.6 按 3.6.3(3) 核查终端 DLP/管控客户端联动（进程、安装包、卸载注册表），现均为已实现。</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下一步几件事。麒麟侧 15 项待补自动判定（多为应用层配置类，可参照 Windows 侧实现），达梦/SQL Server/Redis 组件侧 8 处待补判定分支；补齐后约 22 项可从部分实现转已实现。第 5 章上真机核查时，用 check_network.sh init 生成采集清单，运维陪同采集回显后跑 check 出报告；遇到解析不出的回显格式，把回显片段补进特征匹配。第 4 章里依赖代码审计和渗透测试的项（4.9、4.10、4.26、4.27、4.28），补上 WAF 和代码扫描工具。第 6 至 9 章和第 5 章台账类这类只能人工的，用人工核查台（manual_check.html）逐项记录、粘贴取证截图并导出报告。136 项全部有核查工具覆盖（自动判定或人工路径）。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