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Times New Roman" w:hAnsi="Times New Roman" w:eastAsia="黑体"/>
          <w:b/>
          <w:color w:val="000000"/>
          <w:sz w:val="32"/>
        </w:rPr>
        <w:t>配置核查作业指导书与自动化核查工具交叉验证报告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报告日期：2026-09-10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一、验证结论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依据《配置核查作业指导书》v2.2（10 章、136 个编号检查项），对自动化核查工具逐项交叉验证，核查表的检查项、适用对象与工具核查能力逐项对齐，结果如下：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验证结论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项数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纳入工具核查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69.1%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其中：可自动化（工具直接给出合格/不合格判定）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31.6%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其中：部分可自动化（脚本已核查，结论需结合台账或现场确认）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37.5%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人工核查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30.9%</w:t>
            </w:r>
          </w:p>
        </w:tc>
      </w:tr>
    </w:tbl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全部 136 个检查项中，94 项的核查由工具执行：其中 43 项工具直接给出合格或不合格判定，51 项脚本已执行核查、需结合设备台账或现场情况确认最终结论。其余 42 项按标准要求属现场查看、文档调阅与实测验证类，由人工按同一套判定规则完成并留存证据。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二、验证对象与方法</w:t>
      </w:r>
    </w:p>
    <w:p>
      <w:pPr>
        <w:pStyle w:val="Heading3"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2.1 验证对象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指导书：《配置核查作业指导书》v2.2，共 10 章、136 个编号检查项。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核查工具：16 个脚本。操作系统核查 2 个（Windows、麒麟各 1）；数据库与中间件核查 12 个（MySQL、Redis、达梦、SQL Server、Nginx、Tomcat，两平台各 6）；网络设备核查 2 个（麒麟版与 Windows 版，采集-解析模式，判定逻辑与采集文件通用，覆盖第 5 章 23 项）。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工具的组成、部署方式与使用方法见《配置核查工具包》README。</w:t>
      </w:r>
    </w:p>
    <w:p>
      <w:pPr>
        <w:pStyle w:val="Heading3"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2.2 验证方法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从指导书提取全部编号检查项，逐项确定适用对象（操作系统、数据库、中间件、网络设备），再逐对象核对脚本的核查能力。能力判定以脚本源码的检测分支与结果输出为依据：能够给出合格或不合格判定的，列为可自动化；执行检测命令并输出核查结果、结论需结合台账或现场确认的，列为部分可自动化；其余按标准要求需现场查看、文档调阅与实测验证的，列为需人工核查。</w:t>
      </w:r>
    </w:p>
    <w:p>
      <w:pPr>
        <w:pStyle w:val="Heading3"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2.3 判定规则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验证结论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判定条件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可自动化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该检查项适用的全部对象，脚本均可自动给出合格或不合格判定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部分可自动化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脚本已执行核查，受核查对象或结论性质所限，需结合设备台账或现场情况确认最终结论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需人工核查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现场查看、文档调阅、实测验证类检查项，由人工按指导书方法完成并留存证据</w:t>
            </w:r>
          </w:p>
        </w:tc>
      </w:tr>
    </w:tbl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三、各章覆盖统计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章节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检查项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可自动化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部分可自动化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需人工核查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 系统安全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 用户安全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 数据安全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 应用安全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 网络安全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 物理安全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 组织机构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 规章制度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 管理实施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 协议安全审计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</w:tbl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四、逐项验证结果索引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各章检查项按验证结论归类如下；逐项的适用对象、所用脚本与结论依据见《配置核查表》第 14 列「工具自动验证」。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章节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可自动化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部分可自动化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需人工核查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 系统安全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1.2、1.3、1.4、1.5、1.6、1.10、1.11、1.12、1.14、1.15、1.17、1.18、1.19、1.26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1.1、1.7、1.8、1.9、1.13、1.16、1.20、1.21、1.22、1.23、1.24、1.25、1.27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 用户安全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2.1、2.3、2.4、2.7、2.9、2.10、2.11、2.12、2.13、2.14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2.2、2.5、2.6、2.8、2.15、2.16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 数据安全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3.2、3.3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3.1、3.5、3.6、3.7、3.8、3.9、3.10、3.11、3.13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3.4、3.12、3.14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 应用安全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4.3、4.19、4.22、4.30、4.33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4.1、4.2、4.4、4.5、4.7、4.8、4.11、4.12、4.14、4.16、4.17、4.18、4.23、4.24、4.25、4.31、4.32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4.6、4.9、4.10、4.13、4.15、4.20、4.21、4.26、4.27、4.28、4.29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 网络安全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5.3、5.4、5.5、5.6、5.7、5.8、5.10、5.11、5.16、5.18、5.23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5.9、5.12、5.14、5.17、5.19、5.22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5.1、5.2、5.13、5.15、5.20、5.21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 物理安全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6.1、6.2、6.3、6.4、6.5、6.6、6.7、6.8、6.9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 组织机构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7.1、7.2、7.3、7.4、7.5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 规章制度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8.1、8.2、8.3、8.4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 管理实施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9.1、9.2、9.3、9.4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 协议安全审计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10.1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五、说明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事项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人工核查范围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第 6 至 9 章（物理安全、组织机构、规章制度、管理实施）为现场查看与文档调阅类；第 1 至 5 章中涉及应用代码安全、渗透验证、业务架构与台账比对的检查项，按标准要求由人工完成核查。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网络设备核查方式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第 5 章按工具生成的命令清单，由运维人员登录交换机、防火墙等设备执行命令并留存回显，工具据此逐项判定并出具报告。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结果合并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核查工具与人工核查台采用同一套检查项编号与判定规则，两部分结果可直接合并汇总。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