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  <w:t>Engenharia de Software II – Revisão Casos de Uso</w:t>
      </w:r>
    </w:p>
    <w:p>
      <w:pPr>
        <w:pStyle w:val="style0"/>
        <w:jc w:val="center"/>
      </w:pPr>
      <w:r>
        <w:rPr>
          <w:sz w:val="40"/>
          <w:b/>
          <w:szCs w:val="40"/>
          <w:bCs/>
        </w:rPr>
        <w:t>Projeto 1</w:t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</w:rPr>
        <w:t>Acadêmico: Afonso Tessari Ferreira RA:1304976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20"/>
        <w:jc w:val="center"/>
      </w:pPr>
      <w:r>
        <w:rPr>
          <w:sz w:val="28"/>
          <w:b/>
          <w:szCs w:val="28"/>
          <w:bCs/>
          <w:rFonts w:ascii="Calibri" w:hAnsi="Calibri"/>
        </w:rPr>
        <w:t xml:space="preserve">PROFESSOR: </w:t>
      </w:r>
      <w:r>
        <w:rPr>
          <w:sz w:val="28"/>
          <w:b/>
          <w:szCs w:val="28"/>
          <w:rFonts w:ascii="Calibri" w:hAnsi="Calibri"/>
        </w:rPr>
        <w:t>Prof. Dr. Rogério Eduardo Garcia</w:t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  <w:t>Presidente Prudente</w:t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  <w:t>Defeitos</w:t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1100"/>
        <w:gridCol w:w="2100"/>
        <w:gridCol w:w="3333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#Defeito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Página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333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Classe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Descrição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8"/>
                <w:szCs w:val="28"/>
                <w:rFonts w:ascii="Calibri" w:hAnsi="Calibri"/>
              </w:rPr>
              <w:t>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33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O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RF8: O gerente pode, somente, alterar usuário ou pode alterar dados de outros gerentes.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8"/>
                <w:szCs w:val="28"/>
                <w:rFonts w:ascii="Calibri" w:hAnsi="Calibri"/>
              </w:rPr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33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O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RF8: O gerente pode, somente, remover usuário ou pode remover outros gerentes.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8"/>
                <w:szCs w:val="28"/>
                <w:rFonts w:ascii="Calibri" w:hAnsi="Calibri"/>
              </w:rPr>
              <w:t>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33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O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sz w:val="24"/>
                <w:szCs w:val="24"/>
                <w:rFonts w:ascii="Calibri" w:hAnsi="Calibri"/>
              </w:rPr>
              <w:t>RF9: Está faltando o Caso de Uso da RF9.</w:t>
            </w:r>
          </w:p>
        </w:tc>
      </w:tr>
    </w:tbl>
    <w:p>
      <w:pPr>
        <w:pStyle w:val="style0"/>
        <w:jc w:val="center"/>
      </w:pPr>
      <w:r>
        <w:rPr>
          <w:sz w:val="28"/>
          <w:b/>
          <w:szCs w:val="28"/>
          <w:bCs/>
          <w:rFonts w:ascii="Calibri" w:hAnsi="Calibri"/>
        </w:rPr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Normal"/>
    <w:next w:val="style20"/>
    <w:pPr>
      <w:widowControl/>
      <w:tabs>
        <w:tab w:leader="none" w:pos="709" w:val="left"/>
      </w:tabs>
      <w:suppressAutoHyphens w:val="true"/>
      <w:autoSpaceDE w:val="true"/>
      <w:overflowPunct w:val="true"/>
      <w:kinsoku w:val="true"/>
      <w:spacing w:after="0" w:before="0" w:line="100" w:lineRule="atLeast"/>
    </w:pPr>
    <w:rPr>
      <w:color w:val="000000"/>
      <w:sz w:val="24"/>
      <w:szCs w:val="24"/>
      <w:rFonts w:ascii="Times New Roman" w:cs="Times New Roman" w:eastAsia="SimSun" w:hAnsi="Times New Roman"/>
      <w:lang w:bidi="hi-IN" w:eastAsia="zh-CN" w:val="pt-BR"/>
    </w:rPr>
  </w:style>
  <w:style w:styleId="style21" w:type="paragraph">
    <w:name w:val="Conteúdo de tabela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2015-01-16T23:04:09.04Z</dcterms:created>
  <cp:revision>0</cp:revision>
</cp:coreProperties>
</file>