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8BC" w:rsidRDefault="00663F93" w:rsidP="00315184">
      <w:pPr>
        <w:pStyle w:val="Heading2"/>
      </w:pPr>
      <w:r>
        <w:rPr>
          <w:noProof/>
          <w:lang w:eastAsia="en-GB"/>
        </w:rPr>
        <w:drawing>
          <wp:anchor distT="0" distB="0" distL="114300" distR="114300" simplePos="0" relativeHeight="251658240" behindDoc="0" locked="0" layoutInCell="1" allowOverlap="1" wp14:anchorId="68C4F781" wp14:editId="67580DE4">
            <wp:simplePos x="0" y="0"/>
            <wp:positionH relativeFrom="column">
              <wp:posOffset>5286375</wp:posOffset>
            </wp:positionH>
            <wp:positionV relativeFrom="paragraph">
              <wp:posOffset>-410845</wp:posOffset>
            </wp:positionV>
            <wp:extent cx="1200150" cy="952500"/>
            <wp:effectExtent l="0" t="0" r="0" b="0"/>
            <wp:wrapNone/>
            <wp:docPr id="3" name="Picture 3" descr="https://lh4.googleusercontent.com/PGZKZdorItRU2HOlY55C9vh6UPJuJO4zqHxrwrGBnfAthuvvpaJBIU372dZPZd6Z3cND7D6DFb1Yg9HVtEbOKKQi-LVPupTVN5gDS8iyWdsMUcNUhWMGmglS8t5MUyN7fJCEjD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GZKZdorItRU2HOlY55C9vh6UPJuJO4zqHxrwrGBnfAthuvvpaJBIU372dZPZd6Z3cND7D6DFb1Yg9HVtEbOKKQi-LVPupTVN5gDS8iyWdsMUcNUhWMGmglS8t5MUyN7fJCEjDg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184">
        <w:t>Overview of limiting DoS returns by CCG</w:t>
      </w:r>
    </w:p>
    <w:p w:rsidR="005E7F73" w:rsidRDefault="005E7F73"/>
    <w:p w:rsidR="00FD5A3B" w:rsidRPr="005E7F73" w:rsidRDefault="00315184" w:rsidP="005E7F73">
      <w:pPr>
        <w:numPr>
          <w:ilvl w:val="0"/>
          <w:numId w:val="1"/>
        </w:numPr>
        <w:spacing w:line="360" w:lineRule="auto"/>
      </w:pPr>
      <w:r>
        <w:t>The n</w:t>
      </w:r>
      <w:r w:rsidR="00173EA7" w:rsidRPr="005E7F73">
        <w:t xml:space="preserve">ew Service provides a list of DoS Service ID’s associated with each CCG. These are </w:t>
      </w:r>
      <w:r w:rsidR="00173EA7" w:rsidRPr="005E7F73">
        <w:rPr>
          <w:i/>
          <w:iCs/>
        </w:rPr>
        <w:t>all</w:t>
      </w:r>
      <w:r w:rsidR="00173EA7" w:rsidRPr="005E7F73">
        <w:t xml:space="preserve"> the services intended to be available to online users. They will need the digital referral role adding to be seen</w:t>
      </w:r>
      <w:r>
        <w:t xml:space="preserve"> online</w:t>
      </w:r>
      <w:r w:rsidR="00173EA7" w:rsidRPr="005E7F73">
        <w:t>, but that doesn’t have to take place before being added to this list. If a service ID covers two CCG’s, the ID needs adding to 2 (or more) CCG lists</w:t>
      </w:r>
      <w:r>
        <w:t xml:space="preserve"> (? A&amp;E departments). There is no need to duplicate the DoS Id for this.</w:t>
      </w:r>
      <w:r w:rsidR="00E555A3">
        <w:t xml:space="preserve"> It’s helpful to include the CCG, Service ID, the Service name and the service type.</w:t>
      </w:r>
      <w:bookmarkStart w:id="0" w:name="_GoBack"/>
      <w:bookmarkEnd w:id="0"/>
    </w:p>
    <w:p w:rsidR="005E7F73" w:rsidRDefault="005E7F73" w:rsidP="005E7F73">
      <w:pPr>
        <w:numPr>
          <w:ilvl w:val="0"/>
          <w:numId w:val="1"/>
        </w:numPr>
        <w:spacing w:line="360" w:lineRule="auto"/>
      </w:pPr>
      <w:r w:rsidRPr="005E7F73">
        <w:t xml:space="preserve"> NHS Dig</w:t>
      </w:r>
      <w:r>
        <w:t xml:space="preserve">ital will assigned these to the </w:t>
      </w:r>
      <w:r w:rsidRPr="005E7F73">
        <w:t xml:space="preserve">associated CCG within a table, </w:t>
      </w:r>
      <w:proofErr w:type="spellStart"/>
      <w:r w:rsidRPr="005E7F73">
        <w:t>eg</w:t>
      </w:r>
      <w:proofErr w:type="spellEnd"/>
      <w:r w:rsidRPr="005E7F73">
        <w:t>:</w:t>
      </w:r>
    </w:p>
    <w:p w:rsidR="005E7F73" w:rsidRDefault="005E7F73" w:rsidP="005E7F73">
      <w:pPr>
        <w:spacing w:line="360" w:lineRule="auto"/>
        <w:ind w:left="720"/>
      </w:pPr>
      <w:r>
        <w:rPr>
          <w:noProof/>
          <w:lang w:eastAsia="en-GB"/>
        </w:rPr>
        <w:drawing>
          <wp:inline distT="0" distB="0" distL="0" distR="0" wp14:anchorId="68451CF0" wp14:editId="3E740B90">
            <wp:extent cx="34671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100" cy="1219200"/>
                    </a:xfrm>
                    <a:prstGeom prst="rect">
                      <a:avLst/>
                    </a:prstGeom>
                  </pic:spPr>
                </pic:pic>
              </a:graphicData>
            </a:graphic>
          </wp:inline>
        </w:drawing>
      </w:r>
    </w:p>
    <w:p w:rsidR="005E7F73" w:rsidRDefault="005E7F73" w:rsidP="005E7F73">
      <w:pPr>
        <w:pStyle w:val="ListParagraph"/>
        <w:numPr>
          <w:ilvl w:val="0"/>
          <w:numId w:val="1"/>
        </w:numPr>
        <w:spacing w:line="360" w:lineRule="auto"/>
      </w:pPr>
      <w:r w:rsidRPr="005E7F73">
        <w:t>User enters postcode  in the gateway,  this will determine which CCG they are in, and if it matches,</w:t>
      </w:r>
      <w:r>
        <w:t xml:space="preserve"> </w:t>
      </w:r>
      <w:r w:rsidRPr="005E7F73">
        <w:t xml:space="preserve">they will  move onto NHS 111 online Pathways </w:t>
      </w:r>
    </w:p>
    <w:p w:rsidR="005E7F73" w:rsidRDefault="005E7F73" w:rsidP="005E7F73">
      <w:pPr>
        <w:pStyle w:val="ListParagraph"/>
        <w:numPr>
          <w:ilvl w:val="0"/>
          <w:numId w:val="1"/>
        </w:numPr>
        <w:spacing w:line="360" w:lineRule="auto"/>
      </w:pPr>
      <w:r w:rsidRPr="005E7F73">
        <w:t xml:space="preserve">Same postcode (or updated one) </w:t>
      </w:r>
      <w:r w:rsidR="00315184">
        <w:t xml:space="preserve">is </w:t>
      </w:r>
      <w:r w:rsidRPr="005E7F73">
        <w:t>used to look up DoS</w:t>
      </w:r>
    </w:p>
    <w:p w:rsidR="005E7F73" w:rsidRPr="005E7F73" w:rsidRDefault="00315184" w:rsidP="005E7F73">
      <w:pPr>
        <w:pStyle w:val="ListParagraph"/>
        <w:numPr>
          <w:ilvl w:val="0"/>
          <w:numId w:val="1"/>
        </w:numPr>
        <w:spacing w:line="360" w:lineRule="auto"/>
      </w:pPr>
      <w:r>
        <w:t xml:space="preserve">Online service </w:t>
      </w:r>
      <w:r w:rsidR="005E7F73" w:rsidRPr="005E7F73">
        <w:t>Take</w:t>
      </w:r>
      <w:r>
        <w:t>s</w:t>
      </w:r>
      <w:r w:rsidR="005E7F73" w:rsidRPr="005E7F73">
        <w:t xml:space="preserve"> DoS returns, and validate if Service ID is on the list for the CCG determined in step 3</w:t>
      </w:r>
    </w:p>
    <w:p w:rsidR="005E7F73" w:rsidRDefault="005E7F73" w:rsidP="005E7F73">
      <w:pPr>
        <w:pStyle w:val="ListParagraph"/>
        <w:numPr>
          <w:ilvl w:val="0"/>
          <w:numId w:val="1"/>
        </w:numPr>
        <w:spacing w:line="360" w:lineRule="auto"/>
      </w:pPr>
      <w:r w:rsidRPr="005E7F73">
        <w:t>Only display DoS returns that match the CCG</w:t>
      </w:r>
    </w:p>
    <w:p w:rsidR="005E7F73" w:rsidRPr="005E7F73" w:rsidRDefault="005E7F73" w:rsidP="00315184">
      <w:pPr>
        <w:rPr>
          <w:color w:val="FF0000"/>
        </w:rPr>
      </w:pPr>
      <w:proofErr w:type="gramStart"/>
      <w:r w:rsidRPr="005E7F73">
        <w:rPr>
          <w:color w:val="FF0000"/>
        </w:rPr>
        <w:t>Pro’s</w:t>
      </w:r>
      <w:proofErr w:type="gramEnd"/>
    </w:p>
    <w:p w:rsidR="005E7F73" w:rsidRDefault="005E7F73" w:rsidP="005E7F73">
      <w:r w:rsidRPr="005E7F73">
        <w:t>Stops</w:t>
      </w:r>
      <w:r w:rsidR="00315184">
        <w:t xml:space="preserve"> the big issue of </w:t>
      </w:r>
      <w:r>
        <w:t>‘</w:t>
      </w:r>
      <w:r w:rsidRPr="005E7F73">
        <w:t>out of area</w:t>
      </w:r>
      <w:r>
        <w:t>’</w:t>
      </w:r>
      <w:r w:rsidRPr="005E7F73">
        <w:t xml:space="preserve"> services returning</w:t>
      </w:r>
      <w:r>
        <w:t>.</w:t>
      </w:r>
      <w:r w:rsidR="00315184">
        <w:t xml:space="preserve"> This is more of an issue where neighbouring CCGs are also using 111 online</w:t>
      </w:r>
    </w:p>
    <w:p w:rsidR="005E7F73" w:rsidRDefault="005E7F73" w:rsidP="005E7F73">
      <w:r>
        <w:t>Helps reduce</w:t>
      </w:r>
      <w:r w:rsidR="00315184">
        <w:t xml:space="preserve"> (not prevent)</w:t>
      </w:r>
      <w:r>
        <w:t xml:space="preserve"> the wrong service being selected</w:t>
      </w:r>
    </w:p>
    <w:p w:rsidR="005E7F73" w:rsidRDefault="005E7F73" w:rsidP="005E7F73"/>
    <w:p w:rsidR="005E7F73" w:rsidRPr="00315184" w:rsidRDefault="005E7F73" w:rsidP="005E7F73">
      <w:pPr>
        <w:rPr>
          <w:color w:val="FF0000"/>
        </w:rPr>
      </w:pPr>
      <w:proofErr w:type="gramStart"/>
      <w:r w:rsidRPr="00315184">
        <w:rPr>
          <w:color w:val="FF0000"/>
        </w:rPr>
        <w:t>Con’s</w:t>
      </w:r>
      <w:proofErr w:type="gramEnd"/>
    </w:p>
    <w:p w:rsidR="005E7F73" w:rsidRPr="005E7F73" w:rsidRDefault="005E7F73" w:rsidP="005E7F73">
      <w:r>
        <w:t>Needs NHS Digital input to update – though DoS leads have full control over removing the digital referral role</w:t>
      </w:r>
    </w:p>
    <w:p w:rsidR="005E7F73" w:rsidRPr="005E7F73" w:rsidRDefault="005E7F73" w:rsidP="005E7F73">
      <w:r w:rsidRPr="005E7F73">
        <w:t>Will make trouble shooting non returns harder</w:t>
      </w:r>
    </w:p>
    <w:p w:rsidR="005E7F73" w:rsidRDefault="005E7F73" w:rsidP="005E7F73">
      <w:r w:rsidRPr="005E7F73">
        <w:t xml:space="preserve">This filtering would be </w:t>
      </w:r>
      <w:r w:rsidRPr="005E7F73">
        <w:rPr>
          <w:i/>
          <w:iCs/>
        </w:rPr>
        <w:t>after</w:t>
      </w:r>
      <w:r w:rsidRPr="005E7F73">
        <w:t xml:space="preserve"> we receive the two per type DoS results. This can mean that no services return.</w:t>
      </w:r>
      <w:r>
        <w:t xml:space="preserve"> EG</w:t>
      </w:r>
      <w:r w:rsidR="00315184">
        <w:t>: A</w:t>
      </w:r>
      <w:r>
        <w:t xml:space="preserve"> border patient who</w:t>
      </w:r>
      <w:r w:rsidR="00315184">
        <w:t xml:space="preserve"> would</w:t>
      </w:r>
      <w:r>
        <w:t xml:space="preserve"> get two nearest </w:t>
      </w:r>
      <w:r w:rsidR="00315184">
        <w:t xml:space="preserve">DoS </w:t>
      </w:r>
      <w:r>
        <w:t>returns from</w:t>
      </w:r>
      <w:r w:rsidR="00315184">
        <w:t xml:space="preserve"> within</w:t>
      </w:r>
      <w:r>
        <w:t xml:space="preserve"> anther CCG,</w:t>
      </w:r>
      <w:r w:rsidR="00315184">
        <w:t xml:space="preserve"> -</w:t>
      </w:r>
      <w:r>
        <w:t xml:space="preserve"> DoS will continue to return those two, but they are then prevented from returning. This is also the case with A&amp;E Catch-All </w:t>
      </w:r>
      <w:r w:rsidR="00315184">
        <w:t>services</w:t>
      </w:r>
      <w:r>
        <w:t xml:space="preserve"> – they would on</w:t>
      </w:r>
      <w:r w:rsidR="00315184">
        <w:t>ly</w:t>
      </w:r>
      <w:r>
        <w:t xml:space="preserve"> return if DoS has less than 2 services to return</w:t>
      </w:r>
      <w:r w:rsidR="00315184">
        <w:t>.</w:t>
      </w:r>
    </w:p>
    <w:p w:rsidR="00315184" w:rsidRDefault="00315184" w:rsidP="005E7F73"/>
    <w:p w:rsidR="005E7F73" w:rsidRDefault="00315184">
      <w:r>
        <w:t xml:space="preserve">The alternative is to have an ‘empty’ list in which </w:t>
      </w:r>
      <w:r w:rsidRPr="00315184">
        <w:rPr>
          <w:i/>
        </w:rPr>
        <w:t>any</w:t>
      </w:r>
      <w:r>
        <w:t xml:space="preserve"> service with a digital referral role returns.  I.e. everything returned from DoS is displayed. So far, all other online CCGS have opted for this, as their biggest challenge was out of areas OOH services being offered.</w:t>
      </w:r>
    </w:p>
    <w:sectPr w:rsidR="005E7F73" w:rsidSect="005E7F73">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2F3" w:rsidRDefault="00B672F3" w:rsidP="008B7102">
      <w:pPr>
        <w:spacing w:after="0" w:line="240" w:lineRule="auto"/>
      </w:pPr>
      <w:r>
        <w:separator/>
      </w:r>
    </w:p>
  </w:endnote>
  <w:endnote w:type="continuationSeparator" w:id="0">
    <w:p w:rsidR="00B672F3" w:rsidRDefault="00B672F3" w:rsidP="008B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Heavy Heap"/>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2F3" w:rsidRDefault="00B672F3" w:rsidP="008B7102">
      <w:pPr>
        <w:spacing w:after="0" w:line="240" w:lineRule="auto"/>
      </w:pPr>
      <w:r>
        <w:separator/>
      </w:r>
    </w:p>
  </w:footnote>
  <w:footnote w:type="continuationSeparator" w:id="0">
    <w:p w:rsidR="00B672F3" w:rsidRDefault="00B672F3" w:rsidP="008B71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102" w:rsidRDefault="008B71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D38BF"/>
    <w:multiLevelType w:val="hybridMultilevel"/>
    <w:tmpl w:val="5ABC44F0"/>
    <w:lvl w:ilvl="0" w:tplc="41E20DB8">
      <w:start w:val="1"/>
      <w:numFmt w:val="decimal"/>
      <w:lvlText w:val="%1)"/>
      <w:lvlJc w:val="left"/>
      <w:pPr>
        <w:tabs>
          <w:tab w:val="num" w:pos="720"/>
        </w:tabs>
        <w:ind w:left="720" w:hanging="360"/>
      </w:pPr>
    </w:lvl>
    <w:lvl w:ilvl="1" w:tplc="C1462320" w:tentative="1">
      <w:start w:val="1"/>
      <w:numFmt w:val="decimal"/>
      <w:lvlText w:val="%2)"/>
      <w:lvlJc w:val="left"/>
      <w:pPr>
        <w:tabs>
          <w:tab w:val="num" w:pos="1440"/>
        </w:tabs>
        <w:ind w:left="1440" w:hanging="360"/>
      </w:pPr>
    </w:lvl>
    <w:lvl w:ilvl="2" w:tplc="0C1A9572" w:tentative="1">
      <w:start w:val="1"/>
      <w:numFmt w:val="decimal"/>
      <w:lvlText w:val="%3)"/>
      <w:lvlJc w:val="left"/>
      <w:pPr>
        <w:tabs>
          <w:tab w:val="num" w:pos="2160"/>
        </w:tabs>
        <w:ind w:left="2160" w:hanging="360"/>
      </w:pPr>
    </w:lvl>
    <w:lvl w:ilvl="3" w:tplc="C24C5A98" w:tentative="1">
      <w:start w:val="1"/>
      <w:numFmt w:val="decimal"/>
      <w:lvlText w:val="%4)"/>
      <w:lvlJc w:val="left"/>
      <w:pPr>
        <w:tabs>
          <w:tab w:val="num" w:pos="2880"/>
        </w:tabs>
        <w:ind w:left="2880" w:hanging="360"/>
      </w:pPr>
    </w:lvl>
    <w:lvl w:ilvl="4" w:tplc="16180416" w:tentative="1">
      <w:start w:val="1"/>
      <w:numFmt w:val="decimal"/>
      <w:lvlText w:val="%5)"/>
      <w:lvlJc w:val="left"/>
      <w:pPr>
        <w:tabs>
          <w:tab w:val="num" w:pos="3600"/>
        </w:tabs>
        <w:ind w:left="3600" w:hanging="360"/>
      </w:pPr>
    </w:lvl>
    <w:lvl w:ilvl="5" w:tplc="14E026AC" w:tentative="1">
      <w:start w:val="1"/>
      <w:numFmt w:val="decimal"/>
      <w:lvlText w:val="%6)"/>
      <w:lvlJc w:val="left"/>
      <w:pPr>
        <w:tabs>
          <w:tab w:val="num" w:pos="4320"/>
        </w:tabs>
        <w:ind w:left="4320" w:hanging="360"/>
      </w:pPr>
    </w:lvl>
    <w:lvl w:ilvl="6" w:tplc="0A3885D2" w:tentative="1">
      <w:start w:val="1"/>
      <w:numFmt w:val="decimal"/>
      <w:lvlText w:val="%7)"/>
      <w:lvlJc w:val="left"/>
      <w:pPr>
        <w:tabs>
          <w:tab w:val="num" w:pos="5040"/>
        </w:tabs>
        <w:ind w:left="5040" w:hanging="360"/>
      </w:pPr>
    </w:lvl>
    <w:lvl w:ilvl="7" w:tplc="4BCC567E" w:tentative="1">
      <w:start w:val="1"/>
      <w:numFmt w:val="decimal"/>
      <w:lvlText w:val="%8)"/>
      <w:lvlJc w:val="left"/>
      <w:pPr>
        <w:tabs>
          <w:tab w:val="num" w:pos="5760"/>
        </w:tabs>
        <w:ind w:left="5760" w:hanging="360"/>
      </w:pPr>
    </w:lvl>
    <w:lvl w:ilvl="8" w:tplc="AEB045F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73"/>
    <w:rsid w:val="000601CB"/>
    <w:rsid w:val="00173EA7"/>
    <w:rsid w:val="00315184"/>
    <w:rsid w:val="005A53B4"/>
    <w:rsid w:val="005E7F73"/>
    <w:rsid w:val="00663F93"/>
    <w:rsid w:val="008B7102"/>
    <w:rsid w:val="0090331F"/>
    <w:rsid w:val="00B672F3"/>
    <w:rsid w:val="00D310AB"/>
    <w:rsid w:val="00E555A3"/>
    <w:rsid w:val="00F758BC"/>
    <w:rsid w:val="00FD5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5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73"/>
    <w:pPr>
      <w:ind w:left="720"/>
      <w:contextualSpacing/>
    </w:pPr>
  </w:style>
  <w:style w:type="paragraph" w:styleId="BalloonText">
    <w:name w:val="Balloon Text"/>
    <w:basedOn w:val="Normal"/>
    <w:link w:val="BalloonTextChar"/>
    <w:uiPriority w:val="99"/>
    <w:semiHidden/>
    <w:unhideWhenUsed/>
    <w:rsid w:val="005E7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F73"/>
    <w:rPr>
      <w:rFonts w:ascii="Tahoma" w:hAnsi="Tahoma" w:cs="Tahoma"/>
      <w:sz w:val="16"/>
      <w:szCs w:val="16"/>
    </w:rPr>
  </w:style>
  <w:style w:type="character" w:customStyle="1" w:styleId="Heading2Char">
    <w:name w:val="Heading 2 Char"/>
    <w:basedOn w:val="DefaultParagraphFont"/>
    <w:link w:val="Heading2"/>
    <w:uiPriority w:val="9"/>
    <w:rsid w:val="0031518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B7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102"/>
  </w:style>
  <w:style w:type="paragraph" w:styleId="Footer">
    <w:name w:val="footer"/>
    <w:basedOn w:val="Normal"/>
    <w:link w:val="FooterChar"/>
    <w:uiPriority w:val="99"/>
    <w:unhideWhenUsed/>
    <w:rsid w:val="008B7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5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73"/>
    <w:pPr>
      <w:ind w:left="720"/>
      <w:contextualSpacing/>
    </w:pPr>
  </w:style>
  <w:style w:type="paragraph" w:styleId="BalloonText">
    <w:name w:val="Balloon Text"/>
    <w:basedOn w:val="Normal"/>
    <w:link w:val="BalloonTextChar"/>
    <w:uiPriority w:val="99"/>
    <w:semiHidden/>
    <w:unhideWhenUsed/>
    <w:rsid w:val="005E7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F73"/>
    <w:rPr>
      <w:rFonts w:ascii="Tahoma" w:hAnsi="Tahoma" w:cs="Tahoma"/>
      <w:sz w:val="16"/>
      <w:szCs w:val="16"/>
    </w:rPr>
  </w:style>
  <w:style w:type="character" w:customStyle="1" w:styleId="Heading2Char">
    <w:name w:val="Heading 2 Char"/>
    <w:basedOn w:val="DefaultParagraphFont"/>
    <w:link w:val="Heading2"/>
    <w:uiPriority w:val="9"/>
    <w:rsid w:val="0031518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B7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102"/>
  </w:style>
  <w:style w:type="paragraph" w:styleId="Footer">
    <w:name w:val="footer"/>
    <w:basedOn w:val="Normal"/>
    <w:link w:val="FooterChar"/>
    <w:uiPriority w:val="99"/>
    <w:unhideWhenUsed/>
    <w:rsid w:val="008B7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72236">
      <w:bodyDiv w:val="1"/>
      <w:marLeft w:val="0"/>
      <w:marRight w:val="0"/>
      <w:marTop w:val="0"/>
      <w:marBottom w:val="0"/>
      <w:divBdr>
        <w:top w:val="none" w:sz="0" w:space="0" w:color="auto"/>
        <w:left w:val="none" w:sz="0" w:space="0" w:color="auto"/>
        <w:bottom w:val="none" w:sz="0" w:space="0" w:color="auto"/>
        <w:right w:val="none" w:sz="0" w:space="0" w:color="auto"/>
      </w:divBdr>
    </w:div>
    <w:div w:id="1096823480">
      <w:bodyDiv w:val="1"/>
      <w:marLeft w:val="0"/>
      <w:marRight w:val="0"/>
      <w:marTop w:val="0"/>
      <w:marBottom w:val="0"/>
      <w:divBdr>
        <w:top w:val="none" w:sz="0" w:space="0" w:color="auto"/>
        <w:left w:val="none" w:sz="0" w:space="0" w:color="auto"/>
        <w:bottom w:val="none" w:sz="0" w:space="0" w:color="auto"/>
        <w:right w:val="none" w:sz="0" w:space="0" w:color="auto"/>
      </w:divBdr>
    </w:div>
    <w:div w:id="1135487173">
      <w:bodyDiv w:val="1"/>
      <w:marLeft w:val="0"/>
      <w:marRight w:val="0"/>
      <w:marTop w:val="0"/>
      <w:marBottom w:val="0"/>
      <w:divBdr>
        <w:top w:val="none" w:sz="0" w:space="0" w:color="auto"/>
        <w:left w:val="none" w:sz="0" w:space="0" w:color="auto"/>
        <w:bottom w:val="none" w:sz="0" w:space="0" w:color="auto"/>
        <w:right w:val="none" w:sz="0" w:space="0" w:color="auto"/>
      </w:divBdr>
    </w:div>
    <w:div w:id="1150630557">
      <w:bodyDiv w:val="1"/>
      <w:marLeft w:val="0"/>
      <w:marRight w:val="0"/>
      <w:marTop w:val="0"/>
      <w:marBottom w:val="0"/>
      <w:divBdr>
        <w:top w:val="none" w:sz="0" w:space="0" w:color="auto"/>
        <w:left w:val="none" w:sz="0" w:space="0" w:color="auto"/>
        <w:bottom w:val="none" w:sz="0" w:space="0" w:color="auto"/>
        <w:right w:val="none" w:sz="0" w:space="0" w:color="auto"/>
      </w:divBdr>
    </w:div>
    <w:div w:id="1369838853">
      <w:bodyDiv w:val="1"/>
      <w:marLeft w:val="0"/>
      <w:marRight w:val="0"/>
      <w:marTop w:val="0"/>
      <w:marBottom w:val="0"/>
      <w:divBdr>
        <w:top w:val="none" w:sz="0" w:space="0" w:color="auto"/>
        <w:left w:val="none" w:sz="0" w:space="0" w:color="auto"/>
        <w:bottom w:val="none" w:sz="0" w:space="0" w:color="auto"/>
        <w:right w:val="none" w:sz="0" w:space="0" w:color="auto"/>
      </w:divBdr>
    </w:div>
    <w:div w:id="1454980324">
      <w:bodyDiv w:val="1"/>
      <w:marLeft w:val="0"/>
      <w:marRight w:val="0"/>
      <w:marTop w:val="0"/>
      <w:marBottom w:val="0"/>
      <w:divBdr>
        <w:top w:val="none" w:sz="0" w:space="0" w:color="auto"/>
        <w:left w:val="none" w:sz="0" w:space="0" w:color="auto"/>
        <w:bottom w:val="none" w:sz="0" w:space="0" w:color="auto"/>
        <w:right w:val="none" w:sz="0" w:space="0" w:color="auto"/>
      </w:divBdr>
    </w:div>
    <w:div w:id="1484849951">
      <w:bodyDiv w:val="1"/>
      <w:marLeft w:val="0"/>
      <w:marRight w:val="0"/>
      <w:marTop w:val="0"/>
      <w:marBottom w:val="0"/>
      <w:divBdr>
        <w:top w:val="none" w:sz="0" w:space="0" w:color="auto"/>
        <w:left w:val="none" w:sz="0" w:space="0" w:color="auto"/>
        <w:bottom w:val="none" w:sz="0" w:space="0" w:color="auto"/>
        <w:right w:val="none" w:sz="0" w:space="0" w:color="auto"/>
      </w:divBdr>
    </w:div>
    <w:div w:id="1925141017">
      <w:bodyDiv w:val="1"/>
      <w:marLeft w:val="0"/>
      <w:marRight w:val="0"/>
      <w:marTop w:val="0"/>
      <w:marBottom w:val="0"/>
      <w:divBdr>
        <w:top w:val="none" w:sz="0" w:space="0" w:color="auto"/>
        <w:left w:val="none" w:sz="0" w:space="0" w:color="auto"/>
        <w:bottom w:val="none" w:sz="0" w:space="0" w:color="auto"/>
        <w:right w:val="none" w:sz="0" w:space="0" w:color="auto"/>
      </w:divBdr>
      <w:divsChild>
        <w:div w:id="1054305507">
          <w:marLeft w:val="547"/>
          <w:marRight w:val="0"/>
          <w:marTop w:val="0"/>
          <w:marBottom w:val="0"/>
          <w:divBdr>
            <w:top w:val="none" w:sz="0" w:space="0" w:color="auto"/>
            <w:left w:val="none" w:sz="0" w:space="0" w:color="auto"/>
            <w:bottom w:val="none" w:sz="0" w:space="0" w:color="auto"/>
            <w:right w:val="none" w:sz="0" w:space="0" w:color="auto"/>
          </w:divBdr>
        </w:div>
      </w:divsChild>
    </w:div>
    <w:div w:id="19723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D973B-AF5C-4CF4-87A7-14985CB3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 Turner</dc:creator>
  <cp:lastModifiedBy>Andria Turner</cp:lastModifiedBy>
  <cp:revision>7</cp:revision>
  <dcterms:created xsi:type="dcterms:W3CDTF">2017-12-07T14:27:00Z</dcterms:created>
  <dcterms:modified xsi:type="dcterms:W3CDTF">2017-12-07T18:22:00Z</dcterms:modified>
</cp:coreProperties>
</file>