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QUESTIONS — for Š., in writing, 48 hours to respond</w:t>
      </w:r>
    </w:p>
    <w:p>
      <w:r>
        <w:t>1. Were you a co-author of the substudy protocol?</w:t>
        <w:br/>
        <w:t>2. Did you sign the reclassification of nine deaths in that same substudy?</w:t>
        <w:br/>
        <w:t>3. Was anybody outside the institution informed?</w:t>
        <w:br/>
        <w:t>4. Why was A.P. not reclassified?</w:t>
      </w:r>
    </w:p>
    <w:p>
      <w:r>
        <w:rPr>
          <w:i/>
          <w:sz w:val="20"/>
        </w:rPr>
        <w:t>send only once N. is somewhere safe. Not before.</w:t>
      </w:r>
    </w:p>
    <w:sectPr w:rsidR="00FC693F" w:rsidRPr="0006063C" w:rsidSect="00034616">
      <w:pgSz w:w="12240" w:h="15840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8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