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2D07E" w14:textId="5910C43B" w:rsidR="00147680" w:rsidRDefault="00504861" w:rsidP="00670137">
      <w:pPr>
        <w:pStyle w:val="a7"/>
        <w:ind w:left="440" w:firstLineChars="0" w:firstLine="0"/>
        <w:jc w:val="left"/>
        <w:rPr>
          <w:sz w:val="22"/>
          <w:szCs w:val="24"/>
        </w:rPr>
      </w:pPr>
      <w:r>
        <w:rPr>
          <w:rFonts w:hint="eastAsia"/>
          <w:sz w:val="22"/>
          <w:szCs w:val="24"/>
        </w:rPr>
        <w:t>国信证券：</w:t>
      </w:r>
      <w:r>
        <w:t>基于相对强弱下单向波动差值应用</w:t>
      </w:r>
    </w:p>
    <w:p w14:paraId="424FB7D6" w14:textId="77777777" w:rsidR="00147680" w:rsidRDefault="00147680" w:rsidP="00670137">
      <w:pPr>
        <w:pStyle w:val="a7"/>
        <w:ind w:left="440" w:firstLineChars="0" w:firstLine="0"/>
        <w:jc w:val="left"/>
        <w:rPr>
          <w:sz w:val="22"/>
          <w:szCs w:val="24"/>
        </w:rPr>
      </w:pPr>
    </w:p>
    <w:p w14:paraId="002DCA8F" w14:textId="3463F742" w:rsidR="00B44DF3" w:rsidRPr="00B44DF3" w:rsidRDefault="00B44DF3" w:rsidP="00B44DF3">
      <w:pPr>
        <w:pStyle w:val="a7"/>
        <w:numPr>
          <w:ilvl w:val="0"/>
          <w:numId w:val="2"/>
        </w:numPr>
        <w:ind w:firstLineChars="0"/>
        <w:jc w:val="left"/>
        <w:rPr>
          <w:rFonts w:hint="eastAsia"/>
          <w:b/>
          <w:bCs/>
          <w:sz w:val="28"/>
          <w:szCs w:val="32"/>
        </w:rPr>
      </w:pPr>
      <w:r w:rsidRPr="00B44DF3">
        <w:rPr>
          <w:rFonts w:hint="eastAsia"/>
          <w:b/>
          <w:bCs/>
          <w:sz w:val="28"/>
          <w:szCs w:val="32"/>
        </w:rPr>
        <w:t>策略原理</w:t>
      </w:r>
    </w:p>
    <w:p w14:paraId="2DE1B081" w14:textId="05C7ABFE" w:rsidR="00B65310" w:rsidRDefault="00B33817" w:rsidP="001C1475">
      <w:pPr>
        <w:pStyle w:val="a7"/>
        <w:ind w:left="880" w:firstLineChars="0" w:firstLine="380"/>
        <w:jc w:val="left"/>
        <w:rPr>
          <w:sz w:val="22"/>
          <w:szCs w:val="24"/>
        </w:rPr>
      </w:pPr>
      <w:r>
        <w:rPr>
          <w:rFonts w:hint="eastAsia"/>
          <w:sz w:val="22"/>
          <w:szCs w:val="24"/>
        </w:rPr>
        <w:t>此策略</w:t>
      </w:r>
      <w:r w:rsidR="00F60118">
        <w:rPr>
          <w:rFonts w:hint="eastAsia"/>
          <w:sz w:val="22"/>
          <w:szCs w:val="24"/>
        </w:rPr>
        <w:t>是</w:t>
      </w:r>
      <w:r w:rsidR="00B65310">
        <w:rPr>
          <w:rFonts w:hint="eastAsia"/>
          <w:sz w:val="22"/>
          <w:szCs w:val="24"/>
        </w:rPr>
        <w:t>基于R</w:t>
      </w:r>
      <w:r w:rsidR="00B65310">
        <w:rPr>
          <w:sz w:val="22"/>
          <w:szCs w:val="24"/>
        </w:rPr>
        <w:t>PS</w:t>
      </w:r>
      <w:r w:rsidR="00B65310">
        <w:rPr>
          <w:rFonts w:hint="eastAsia"/>
          <w:sz w:val="22"/>
          <w:szCs w:val="24"/>
        </w:rPr>
        <w:t>和波动率剪刀差</w:t>
      </w:r>
      <w:r>
        <w:rPr>
          <w:rFonts w:hint="eastAsia"/>
          <w:sz w:val="22"/>
          <w:szCs w:val="24"/>
        </w:rPr>
        <w:t>作为信号的</w:t>
      </w:r>
      <w:r w:rsidR="00B65310">
        <w:rPr>
          <w:rFonts w:hint="eastAsia"/>
          <w:sz w:val="22"/>
          <w:szCs w:val="24"/>
        </w:rPr>
        <w:t>择时策略。</w:t>
      </w:r>
    </w:p>
    <w:p w14:paraId="200A9777" w14:textId="3E02ACE0" w:rsidR="00504861" w:rsidRDefault="005E6B95" w:rsidP="001C1475">
      <w:pPr>
        <w:pStyle w:val="a7"/>
        <w:ind w:left="880" w:firstLineChars="0" w:firstLine="380"/>
        <w:jc w:val="left"/>
        <w:rPr>
          <w:sz w:val="22"/>
          <w:szCs w:val="24"/>
        </w:rPr>
      </w:pPr>
      <w:r w:rsidRPr="00B33817">
        <w:rPr>
          <w:rFonts w:hint="eastAsia"/>
          <w:b/>
          <w:bCs/>
          <w:sz w:val="22"/>
          <w:szCs w:val="24"/>
        </w:rPr>
        <w:t>波动率反映了市场情绪和趋势</w:t>
      </w:r>
      <w:r>
        <w:rPr>
          <w:rFonts w:hint="eastAsia"/>
          <w:sz w:val="22"/>
          <w:szCs w:val="24"/>
        </w:rPr>
        <w:t>，</w:t>
      </w:r>
      <w:r w:rsidR="00504861">
        <w:rPr>
          <w:rFonts w:hint="eastAsia"/>
          <w:sz w:val="22"/>
          <w:szCs w:val="24"/>
        </w:rPr>
        <w:t>由于</w:t>
      </w:r>
      <w:r w:rsidR="007C3CAE">
        <w:rPr>
          <w:rFonts w:hint="eastAsia"/>
          <w:sz w:val="22"/>
          <w:szCs w:val="24"/>
        </w:rPr>
        <w:t>A股</w:t>
      </w:r>
      <w:r w:rsidR="00504861">
        <w:rPr>
          <w:rFonts w:hint="eastAsia"/>
          <w:sz w:val="22"/>
          <w:szCs w:val="24"/>
        </w:rPr>
        <w:t>做空机制的欠缺，将股票开盘价之上和开盘价之下的波动率划分为上行波动率和下行波动率</w:t>
      </w:r>
      <w:r w:rsidR="00B31DC0">
        <w:rPr>
          <w:rFonts w:hint="eastAsia"/>
          <w:sz w:val="22"/>
          <w:szCs w:val="24"/>
        </w:rPr>
        <w:t>，上行波动率和下行波动率之差为剪刀差波动率</w:t>
      </w:r>
      <w:r>
        <w:rPr>
          <w:rFonts w:hint="eastAsia"/>
          <w:sz w:val="22"/>
          <w:szCs w:val="24"/>
        </w:rPr>
        <w:t>，剪刀波动</w:t>
      </w:r>
      <w:proofErr w:type="gramStart"/>
      <w:r>
        <w:rPr>
          <w:rFonts w:hint="eastAsia"/>
          <w:sz w:val="22"/>
          <w:szCs w:val="24"/>
        </w:rPr>
        <w:t>率具有</w:t>
      </w:r>
      <w:proofErr w:type="gramEnd"/>
      <w:r>
        <w:rPr>
          <w:rFonts w:hint="eastAsia"/>
          <w:sz w:val="22"/>
          <w:szCs w:val="24"/>
        </w:rPr>
        <w:t>较好的预测效果</w:t>
      </w:r>
      <w:r w:rsidR="00837E21">
        <w:rPr>
          <w:rFonts w:hint="eastAsia"/>
          <w:sz w:val="22"/>
          <w:szCs w:val="24"/>
        </w:rPr>
        <w:t>。</w:t>
      </w:r>
      <w:r w:rsidR="00B33817">
        <w:rPr>
          <w:rFonts w:hint="eastAsia"/>
          <w:sz w:val="22"/>
          <w:szCs w:val="24"/>
        </w:rPr>
        <w:t>波动率有振幅和标准差两种方式衡量。</w:t>
      </w:r>
    </w:p>
    <w:p w14:paraId="75250A34" w14:textId="1E825A1B" w:rsidR="007C3CAE" w:rsidRDefault="007C3CAE" w:rsidP="001C1475">
      <w:pPr>
        <w:pStyle w:val="a7"/>
        <w:ind w:left="880" w:firstLineChars="0" w:firstLine="380"/>
        <w:jc w:val="left"/>
        <w:rPr>
          <w:rFonts w:hint="eastAsia"/>
          <w:sz w:val="22"/>
          <w:szCs w:val="24"/>
        </w:rPr>
      </w:pPr>
      <w:r w:rsidRPr="00B33817">
        <w:rPr>
          <w:rFonts w:hint="eastAsia"/>
          <w:b/>
          <w:bCs/>
          <w:sz w:val="22"/>
          <w:szCs w:val="24"/>
        </w:rPr>
        <w:t>相对强弱指数R</w:t>
      </w:r>
      <w:r w:rsidRPr="00B33817">
        <w:rPr>
          <w:b/>
          <w:bCs/>
          <w:sz w:val="22"/>
          <w:szCs w:val="24"/>
        </w:rPr>
        <w:t>PS</w:t>
      </w:r>
      <w:r w:rsidRPr="00B33817">
        <w:rPr>
          <w:rFonts w:hint="eastAsia"/>
          <w:b/>
          <w:bCs/>
          <w:sz w:val="22"/>
          <w:szCs w:val="24"/>
        </w:rPr>
        <w:t>能够较好地表明市场是否处于强势</w:t>
      </w:r>
      <w:r>
        <w:rPr>
          <w:rFonts w:hint="eastAsia"/>
          <w:sz w:val="22"/>
          <w:szCs w:val="24"/>
        </w:rPr>
        <w:t>，投资者应当在市场处于强势时保持高</w:t>
      </w:r>
      <w:proofErr w:type="gramStart"/>
      <w:r>
        <w:rPr>
          <w:rFonts w:hint="eastAsia"/>
          <w:sz w:val="22"/>
          <w:szCs w:val="24"/>
        </w:rPr>
        <w:t>仓位</w:t>
      </w:r>
      <w:proofErr w:type="gramEnd"/>
      <w:r>
        <w:rPr>
          <w:rFonts w:hint="eastAsia"/>
          <w:sz w:val="22"/>
          <w:szCs w:val="24"/>
        </w:rPr>
        <w:t>，</w:t>
      </w:r>
      <w:r w:rsidR="00B33817">
        <w:rPr>
          <w:rFonts w:hint="eastAsia"/>
          <w:sz w:val="22"/>
          <w:szCs w:val="24"/>
        </w:rPr>
        <w:t>市场</w:t>
      </w:r>
      <w:r>
        <w:rPr>
          <w:rFonts w:hint="eastAsia"/>
          <w:sz w:val="22"/>
          <w:szCs w:val="24"/>
        </w:rPr>
        <w:t>弱势时保持低</w:t>
      </w:r>
      <w:proofErr w:type="gramStart"/>
      <w:r>
        <w:rPr>
          <w:rFonts w:hint="eastAsia"/>
          <w:sz w:val="22"/>
          <w:szCs w:val="24"/>
        </w:rPr>
        <w:t>仓位</w:t>
      </w:r>
      <w:proofErr w:type="gramEnd"/>
      <w:r>
        <w:rPr>
          <w:rFonts w:hint="eastAsia"/>
          <w:sz w:val="22"/>
          <w:szCs w:val="24"/>
        </w:rPr>
        <w:t>。</w:t>
      </w:r>
    </w:p>
    <w:p w14:paraId="1E18EDEA" w14:textId="025512F6" w:rsidR="00837E21" w:rsidRPr="00B65310" w:rsidRDefault="00B44DF3" w:rsidP="00837E21">
      <w:pPr>
        <w:pStyle w:val="a7"/>
        <w:numPr>
          <w:ilvl w:val="0"/>
          <w:numId w:val="2"/>
        </w:numPr>
        <w:ind w:firstLineChars="0"/>
        <w:jc w:val="left"/>
        <w:rPr>
          <w:b/>
          <w:bCs/>
          <w:sz w:val="28"/>
          <w:szCs w:val="32"/>
        </w:rPr>
      </w:pPr>
      <w:proofErr w:type="gramStart"/>
      <w:r w:rsidRPr="00B65310">
        <w:rPr>
          <w:rFonts w:hint="eastAsia"/>
          <w:b/>
          <w:bCs/>
          <w:sz w:val="28"/>
          <w:szCs w:val="32"/>
        </w:rPr>
        <w:t>研报</w:t>
      </w:r>
      <w:r w:rsidR="00F60118">
        <w:rPr>
          <w:rFonts w:hint="eastAsia"/>
          <w:b/>
          <w:bCs/>
          <w:sz w:val="28"/>
          <w:szCs w:val="32"/>
        </w:rPr>
        <w:t>研究</w:t>
      </w:r>
      <w:proofErr w:type="gramEnd"/>
      <w:r w:rsidR="00F60118">
        <w:rPr>
          <w:rFonts w:hint="eastAsia"/>
          <w:b/>
          <w:bCs/>
          <w:sz w:val="28"/>
          <w:szCs w:val="32"/>
        </w:rPr>
        <w:t>过程</w:t>
      </w:r>
    </w:p>
    <w:p w14:paraId="188CDB60" w14:textId="52598E43" w:rsidR="00B0122A" w:rsidRDefault="00F60118" w:rsidP="00B65310">
      <w:pPr>
        <w:pStyle w:val="a7"/>
        <w:ind w:left="880" w:firstLineChars="0" w:firstLine="380"/>
        <w:jc w:val="left"/>
        <w:rPr>
          <w:sz w:val="22"/>
          <w:szCs w:val="24"/>
        </w:rPr>
      </w:pPr>
      <w:r>
        <w:rPr>
          <w:rFonts w:hint="eastAsia"/>
          <w:sz w:val="22"/>
          <w:szCs w:val="24"/>
        </w:rPr>
        <w:t>首先使用了日标准差和日振幅计算的波动率对收益率做granger因果检验，得到结果如下图，说明如此简单计算下的波动率和收益率之间并无明显相关性：（图中横轴代表预测天数，纵轴为相关系数）</w:t>
      </w:r>
    </w:p>
    <w:p w14:paraId="7BBFFC81" w14:textId="7C99AC62" w:rsidR="00F60118" w:rsidRDefault="00F60118" w:rsidP="00F60118">
      <w:pPr>
        <w:pStyle w:val="a7"/>
        <w:ind w:left="880" w:firstLineChars="0" w:firstLine="380"/>
        <w:jc w:val="center"/>
        <w:rPr>
          <w:rFonts w:hint="eastAsia"/>
          <w:sz w:val="22"/>
          <w:szCs w:val="24"/>
        </w:rPr>
      </w:pPr>
      <w:r>
        <w:rPr>
          <w:noProof/>
        </w:rPr>
        <w:drawing>
          <wp:inline distT="0" distB="0" distL="0" distR="0" wp14:anchorId="2E771374" wp14:editId="00C678FE">
            <wp:extent cx="5274310" cy="2255520"/>
            <wp:effectExtent l="0" t="0" r="0" b="0"/>
            <wp:docPr id="1037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9582" name=""/>
                    <pic:cNvPicPr/>
                  </pic:nvPicPr>
                  <pic:blipFill>
                    <a:blip r:embed="rId7"/>
                    <a:stretch>
                      <a:fillRect/>
                    </a:stretch>
                  </pic:blipFill>
                  <pic:spPr>
                    <a:xfrm>
                      <a:off x="0" y="0"/>
                      <a:ext cx="5274310" cy="2255520"/>
                    </a:xfrm>
                    <a:prstGeom prst="rect">
                      <a:avLst/>
                    </a:prstGeom>
                  </pic:spPr>
                </pic:pic>
              </a:graphicData>
            </a:graphic>
          </wp:inline>
        </w:drawing>
      </w:r>
    </w:p>
    <w:p w14:paraId="4358BAEF" w14:textId="4960D781" w:rsidR="00B0122A" w:rsidRDefault="00F60118" w:rsidP="00B0122A">
      <w:pPr>
        <w:pStyle w:val="a7"/>
        <w:ind w:left="880" w:firstLineChars="0" w:firstLine="0"/>
        <w:jc w:val="left"/>
        <w:rPr>
          <w:sz w:val="22"/>
          <w:szCs w:val="24"/>
        </w:rPr>
      </w:pPr>
      <w:r>
        <w:rPr>
          <w:sz w:val="22"/>
          <w:szCs w:val="24"/>
        </w:rPr>
        <w:tab/>
      </w:r>
      <w:r>
        <w:rPr>
          <w:rFonts w:hint="eastAsia"/>
          <w:sz w:val="22"/>
          <w:szCs w:val="24"/>
        </w:rPr>
        <w:t>如果改为波动率剪刀差，即</w:t>
      </w:r>
      <w:r w:rsidR="005C171E">
        <w:rPr>
          <w:rFonts w:hint="eastAsia"/>
          <w:sz w:val="22"/>
          <w:szCs w:val="24"/>
        </w:rPr>
        <w:t>日</w:t>
      </w:r>
      <w:r>
        <w:rPr>
          <w:rFonts w:hint="eastAsia"/>
          <w:sz w:val="22"/>
          <w:szCs w:val="24"/>
        </w:rPr>
        <w:t>上行波动率和下行波动率之差，对收益率再次做granger因果检验，可以发现预测能力大大提高</w:t>
      </w:r>
      <w:r w:rsidR="005C171E">
        <w:rPr>
          <w:rFonts w:hint="eastAsia"/>
          <w:sz w:val="22"/>
          <w:szCs w:val="24"/>
        </w:rPr>
        <w:t>，同时振幅剪刀差波动率的相关性更强</w:t>
      </w:r>
      <w:r>
        <w:rPr>
          <w:rFonts w:hint="eastAsia"/>
          <w:sz w:val="22"/>
          <w:szCs w:val="24"/>
        </w:rPr>
        <w:t>：</w:t>
      </w:r>
    </w:p>
    <w:p w14:paraId="2B92C78F" w14:textId="6A905440" w:rsidR="00F60118" w:rsidRDefault="00F60118" w:rsidP="00B0122A">
      <w:pPr>
        <w:pStyle w:val="a7"/>
        <w:ind w:left="880" w:firstLineChars="0" w:firstLine="0"/>
        <w:jc w:val="left"/>
        <w:rPr>
          <w:sz w:val="22"/>
          <w:szCs w:val="24"/>
        </w:rPr>
      </w:pPr>
      <w:r>
        <w:rPr>
          <w:noProof/>
        </w:rPr>
        <w:drawing>
          <wp:inline distT="0" distB="0" distL="0" distR="0" wp14:anchorId="3DFD008E" wp14:editId="6763E160">
            <wp:extent cx="5274310" cy="2315210"/>
            <wp:effectExtent l="0" t="0" r="0" b="0"/>
            <wp:docPr id="61704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9224" name=""/>
                    <pic:cNvPicPr/>
                  </pic:nvPicPr>
                  <pic:blipFill>
                    <a:blip r:embed="rId8"/>
                    <a:stretch>
                      <a:fillRect/>
                    </a:stretch>
                  </pic:blipFill>
                  <pic:spPr>
                    <a:xfrm>
                      <a:off x="0" y="0"/>
                      <a:ext cx="5274310" cy="2315210"/>
                    </a:xfrm>
                    <a:prstGeom prst="rect">
                      <a:avLst/>
                    </a:prstGeom>
                  </pic:spPr>
                </pic:pic>
              </a:graphicData>
            </a:graphic>
          </wp:inline>
        </w:drawing>
      </w:r>
    </w:p>
    <w:p w14:paraId="102013F0" w14:textId="2E746BD2" w:rsidR="00F60118" w:rsidRPr="00F60118" w:rsidRDefault="00F60118" w:rsidP="00F60118">
      <w:pPr>
        <w:jc w:val="left"/>
        <w:rPr>
          <w:rFonts w:hint="eastAsia"/>
          <w:sz w:val="22"/>
          <w:szCs w:val="24"/>
        </w:rPr>
      </w:pPr>
      <w:r>
        <w:rPr>
          <w:sz w:val="22"/>
          <w:szCs w:val="24"/>
        </w:rPr>
        <w:tab/>
      </w:r>
      <w:r w:rsidR="005C171E">
        <w:rPr>
          <w:sz w:val="22"/>
          <w:szCs w:val="24"/>
        </w:rPr>
        <w:tab/>
      </w:r>
      <w:r w:rsidR="005C171E">
        <w:rPr>
          <w:rFonts w:hint="eastAsia"/>
          <w:sz w:val="22"/>
          <w:szCs w:val="24"/>
        </w:rPr>
        <w:t>因此构建基于振幅剪刀差波动率的择时策略，当60日平均剪刀差波动率大于</w:t>
      </w:r>
      <w:r w:rsidR="005C171E">
        <w:rPr>
          <w:rFonts w:hint="eastAsia"/>
          <w:sz w:val="22"/>
          <w:szCs w:val="24"/>
        </w:rPr>
        <w:lastRenderedPageBreak/>
        <w:t>0时满仓，小于0时空仓，得到如下图结果，可见收益分布并不均匀。</w:t>
      </w:r>
    </w:p>
    <w:p w14:paraId="5D0657B0" w14:textId="12CF855A" w:rsidR="00B0122A" w:rsidRDefault="00B0122A" w:rsidP="00B0122A">
      <w:pPr>
        <w:pStyle w:val="a7"/>
        <w:ind w:left="880" w:firstLineChars="0" w:firstLine="0"/>
        <w:jc w:val="left"/>
        <w:rPr>
          <w:sz w:val="22"/>
          <w:szCs w:val="24"/>
        </w:rPr>
      </w:pPr>
      <w:r>
        <w:rPr>
          <w:noProof/>
        </w:rPr>
        <w:drawing>
          <wp:inline distT="0" distB="0" distL="0" distR="0" wp14:anchorId="3E3B83A5" wp14:editId="3245B121">
            <wp:extent cx="5274310" cy="2062480"/>
            <wp:effectExtent l="0" t="0" r="2540" b="0"/>
            <wp:docPr id="1226502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2180" name=""/>
                    <pic:cNvPicPr/>
                  </pic:nvPicPr>
                  <pic:blipFill>
                    <a:blip r:embed="rId9"/>
                    <a:stretch>
                      <a:fillRect/>
                    </a:stretch>
                  </pic:blipFill>
                  <pic:spPr>
                    <a:xfrm>
                      <a:off x="0" y="0"/>
                      <a:ext cx="5274310" cy="2062480"/>
                    </a:xfrm>
                    <a:prstGeom prst="rect">
                      <a:avLst/>
                    </a:prstGeom>
                  </pic:spPr>
                </pic:pic>
              </a:graphicData>
            </a:graphic>
          </wp:inline>
        </w:drawing>
      </w:r>
    </w:p>
    <w:p w14:paraId="101ECF35" w14:textId="77A251C3" w:rsidR="00B0122A" w:rsidRDefault="00B0122A" w:rsidP="00B0122A">
      <w:pPr>
        <w:pStyle w:val="a7"/>
        <w:ind w:left="880" w:firstLineChars="0" w:firstLine="0"/>
        <w:jc w:val="left"/>
        <w:rPr>
          <w:sz w:val="22"/>
          <w:szCs w:val="24"/>
        </w:rPr>
      </w:pPr>
      <w:r>
        <w:rPr>
          <w:noProof/>
        </w:rPr>
        <w:drawing>
          <wp:inline distT="0" distB="0" distL="0" distR="0" wp14:anchorId="2927A0B9" wp14:editId="2C60E547">
            <wp:extent cx="5274310" cy="2799715"/>
            <wp:effectExtent l="0" t="0" r="2540" b="635"/>
            <wp:docPr id="89538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84757" name=""/>
                    <pic:cNvPicPr/>
                  </pic:nvPicPr>
                  <pic:blipFill>
                    <a:blip r:embed="rId10"/>
                    <a:stretch>
                      <a:fillRect/>
                    </a:stretch>
                  </pic:blipFill>
                  <pic:spPr>
                    <a:xfrm>
                      <a:off x="0" y="0"/>
                      <a:ext cx="5274310" cy="2799715"/>
                    </a:xfrm>
                    <a:prstGeom prst="rect">
                      <a:avLst/>
                    </a:prstGeom>
                  </pic:spPr>
                </pic:pic>
              </a:graphicData>
            </a:graphic>
          </wp:inline>
        </w:drawing>
      </w:r>
    </w:p>
    <w:p w14:paraId="4E174BB9" w14:textId="17F41DCE" w:rsidR="005C171E" w:rsidRDefault="005C171E" w:rsidP="00B65310">
      <w:pPr>
        <w:pStyle w:val="a7"/>
        <w:ind w:left="880" w:firstLineChars="0" w:firstLine="380"/>
        <w:jc w:val="left"/>
        <w:rPr>
          <w:sz w:val="22"/>
          <w:szCs w:val="24"/>
        </w:rPr>
      </w:pPr>
      <w:r>
        <w:rPr>
          <w:rFonts w:hint="eastAsia"/>
          <w:sz w:val="22"/>
          <w:szCs w:val="24"/>
        </w:rPr>
        <w:t>随后，通过将市场划分为牛市和震荡市，granger检验结果如下：</w:t>
      </w:r>
    </w:p>
    <w:p w14:paraId="20361500" w14:textId="530DF7DF" w:rsidR="005C171E" w:rsidRDefault="00F270BA" w:rsidP="00F270BA">
      <w:pPr>
        <w:pStyle w:val="a7"/>
        <w:ind w:left="880" w:firstLineChars="0" w:firstLine="380"/>
        <w:jc w:val="center"/>
        <w:rPr>
          <w:rFonts w:hint="eastAsia"/>
          <w:sz w:val="22"/>
          <w:szCs w:val="24"/>
        </w:rPr>
      </w:pPr>
      <w:r>
        <w:rPr>
          <w:noProof/>
        </w:rPr>
        <w:lastRenderedPageBreak/>
        <w:drawing>
          <wp:inline distT="0" distB="0" distL="0" distR="0" wp14:anchorId="59EB040C" wp14:editId="795D716F">
            <wp:extent cx="5274310" cy="3630295"/>
            <wp:effectExtent l="0" t="0" r="0" b="0"/>
            <wp:docPr id="157070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6020" name=""/>
                    <pic:cNvPicPr/>
                  </pic:nvPicPr>
                  <pic:blipFill>
                    <a:blip r:embed="rId11"/>
                    <a:stretch>
                      <a:fillRect/>
                    </a:stretch>
                  </pic:blipFill>
                  <pic:spPr>
                    <a:xfrm>
                      <a:off x="0" y="0"/>
                      <a:ext cx="5274310" cy="3630295"/>
                    </a:xfrm>
                    <a:prstGeom prst="rect">
                      <a:avLst/>
                    </a:prstGeom>
                  </pic:spPr>
                </pic:pic>
              </a:graphicData>
            </a:graphic>
          </wp:inline>
        </w:drawing>
      </w:r>
    </w:p>
    <w:p w14:paraId="2BB96A84" w14:textId="27589A18" w:rsidR="00B0122A" w:rsidRDefault="00F270BA" w:rsidP="00B65310">
      <w:pPr>
        <w:pStyle w:val="a7"/>
        <w:ind w:left="880" w:firstLineChars="0" w:firstLine="380"/>
        <w:jc w:val="left"/>
        <w:rPr>
          <w:sz w:val="22"/>
          <w:szCs w:val="24"/>
        </w:rPr>
      </w:pPr>
      <w:r>
        <w:rPr>
          <w:rFonts w:hint="eastAsia"/>
          <w:sz w:val="22"/>
          <w:szCs w:val="24"/>
        </w:rPr>
        <w:t>牛市中波动率差值和预测收益的相关系数显然更高，同时60天窗口期移动均值的相关系数也显著高于10天窗口期，说明波动率差值移动平均的窗口期以及所处的市场特征都会影响预测效果，有必要引入</w:t>
      </w:r>
      <w:r>
        <w:rPr>
          <w:sz w:val="22"/>
          <w:szCs w:val="24"/>
        </w:rPr>
        <w:t>RPS</w:t>
      </w:r>
      <w:r>
        <w:rPr>
          <w:rFonts w:hint="eastAsia"/>
          <w:sz w:val="22"/>
          <w:szCs w:val="24"/>
        </w:rPr>
        <w:t>指标判断市场特征。</w:t>
      </w:r>
    </w:p>
    <w:p w14:paraId="7376237F" w14:textId="2F16119B" w:rsidR="0021030B" w:rsidRDefault="0021030B" w:rsidP="00B65310">
      <w:pPr>
        <w:pStyle w:val="a7"/>
        <w:ind w:left="880" w:firstLineChars="0" w:firstLine="380"/>
        <w:jc w:val="left"/>
        <w:rPr>
          <w:sz w:val="22"/>
          <w:szCs w:val="24"/>
        </w:rPr>
      </w:pPr>
      <w:r>
        <w:rPr>
          <w:rFonts w:hint="eastAsia"/>
          <w:sz w:val="22"/>
          <w:szCs w:val="24"/>
        </w:rPr>
        <w:t>R</w:t>
      </w:r>
      <w:r>
        <w:rPr>
          <w:sz w:val="22"/>
          <w:szCs w:val="24"/>
        </w:rPr>
        <w:t>PS</w:t>
      </w:r>
      <w:r>
        <w:rPr>
          <w:rFonts w:hint="eastAsia"/>
          <w:sz w:val="22"/>
          <w:szCs w:val="24"/>
        </w:rPr>
        <w:t>指标的计算方法和结果为：</w:t>
      </w:r>
    </w:p>
    <w:p w14:paraId="2DE868C5" w14:textId="77E255BE" w:rsidR="0021030B" w:rsidRDefault="0021030B" w:rsidP="00B65310">
      <w:pPr>
        <w:pStyle w:val="a7"/>
        <w:ind w:left="880" w:firstLineChars="0" w:firstLine="380"/>
        <w:jc w:val="left"/>
        <w:rPr>
          <w:rFonts w:hint="eastAsia"/>
          <w:sz w:val="22"/>
          <w:szCs w:val="24"/>
        </w:rPr>
      </w:pPr>
      <w:r>
        <w:rPr>
          <w:noProof/>
        </w:rPr>
        <w:lastRenderedPageBreak/>
        <w:drawing>
          <wp:inline distT="0" distB="0" distL="0" distR="0" wp14:anchorId="410049AB" wp14:editId="5EDDB2AA">
            <wp:extent cx="5274310" cy="4192905"/>
            <wp:effectExtent l="0" t="0" r="0" b="0"/>
            <wp:docPr id="81455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2194" name=""/>
                    <pic:cNvPicPr/>
                  </pic:nvPicPr>
                  <pic:blipFill>
                    <a:blip r:embed="rId12"/>
                    <a:stretch>
                      <a:fillRect/>
                    </a:stretch>
                  </pic:blipFill>
                  <pic:spPr>
                    <a:xfrm>
                      <a:off x="0" y="0"/>
                      <a:ext cx="5274310" cy="4192905"/>
                    </a:xfrm>
                    <a:prstGeom prst="rect">
                      <a:avLst/>
                    </a:prstGeom>
                  </pic:spPr>
                </pic:pic>
              </a:graphicData>
            </a:graphic>
          </wp:inline>
        </w:drawing>
      </w:r>
    </w:p>
    <w:p w14:paraId="65442E8C" w14:textId="7BE0AEEB" w:rsidR="00B0122A" w:rsidRDefault="0021030B" w:rsidP="00B0122A">
      <w:pPr>
        <w:pStyle w:val="a7"/>
        <w:ind w:left="880" w:firstLineChars="0" w:firstLine="0"/>
        <w:jc w:val="left"/>
        <w:rPr>
          <w:sz w:val="22"/>
          <w:szCs w:val="24"/>
        </w:rPr>
      </w:pPr>
      <w:r>
        <w:rPr>
          <w:sz w:val="22"/>
          <w:szCs w:val="24"/>
        </w:rPr>
        <w:tab/>
      </w:r>
      <w:r>
        <w:rPr>
          <w:rFonts w:hint="eastAsia"/>
          <w:sz w:val="22"/>
          <w:szCs w:val="24"/>
        </w:rPr>
        <w:t>显然的确在市场处于牛市时，R</w:t>
      </w:r>
      <w:r>
        <w:rPr>
          <w:sz w:val="22"/>
          <w:szCs w:val="24"/>
        </w:rPr>
        <w:t>PS</w:t>
      </w:r>
      <w:r>
        <w:rPr>
          <w:rFonts w:hint="eastAsia"/>
          <w:sz w:val="22"/>
          <w:szCs w:val="24"/>
        </w:rPr>
        <w:t>指标的值更大。结合市场特征、移动平均窗口期和预测效果的关系，可以在R</w:t>
      </w:r>
      <w:r>
        <w:rPr>
          <w:sz w:val="22"/>
          <w:szCs w:val="24"/>
        </w:rPr>
        <w:t>PS</w:t>
      </w:r>
      <w:r>
        <w:rPr>
          <w:rFonts w:hint="eastAsia"/>
          <w:sz w:val="22"/>
          <w:szCs w:val="24"/>
        </w:rPr>
        <w:t>较大时，采取较长的窗口期，在R</w:t>
      </w:r>
      <w:r>
        <w:rPr>
          <w:sz w:val="22"/>
          <w:szCs w:val="24"/>
        </w:rPr>
        <w:t>PS</w:t>
      </w:r>
      <w:r>
        <w:rPr>
          <w:rFonts w:hint="eastAsia"/>
          <w:sz w:val="22"/>
          <w:szCs w:val="24"/>
        </w:rPr>
        <w:t>较小时采取较短的窗口期。</w:t>
      </w:r>
    </w:p>
    <w:p w14:paraId="4E94B26F" w14:textId="77777777" w:rsidR="00BE0610" w:rsidRDefault="00BE0610" w:rsidP="00B0122A">
      <w:pPr>
        <w:pStyle w:val="a7"/>
        <w:ind w:left="880" w:firstLineChars="0" w:firstLine="0"/>
        <w:jc w:val="left"/>
        <w:rPr>
          <w:sz w:val="22"/>
          <w:szCs w:val="24"/>
        </w:rPr>
      </w:pPr>
    </w:p>
    <w:p w14:paraId="20ED01CE" w14:textId="2F352142" w:rsidR="00BE0610" w:rsidRDefault="00BE0610" w:rsidP="00BE0610">
      <w:pPr>
        <w:pStyle w:val="a7"/>
        <w:numPr>
          <w:ilvl w:val="0"/>
          <w:numId w:val="2"/>
        </w:numPr>
        <w:ind w:firstLineChars="0"/>
        <w:jc w:val="left"/>
        <w:rPr>
          <w:b/>
          <w:bCs/>
          <w:sz w:val="28"/>
          <w:szCs w:val="32"/>
        </w:rPr>
      </w:pPr>
      <w:proofErr w:type="gramStart"/>
      <w:r w:rsidRPr="00BE0610">
        <w:rPr>
          <w:rFonts w:hint="eastAsia"/>
          <w:b/>
          <w:bCs/>
          <w:sz w:val="28"/>
          <w:szCs w:val="32"/>
        </w:rPr>
        <w:t>研</w:t>
      </w:r>
      <w:proofErr w:type="gramEnd"/>
      <w:r w:rsidRPr="00BE0610">
        <w:rPr>
          <w:rFonts w:hint="eastAsia"/>
          <w:b/>
          <w:bCs/>
          <w:sz w:val="28"/>
          <w:szCs w:val="32"/>
        </w:rPr>
        <w:t>报策略：</w:t>
      </w:r>
    </w:p>
    <w:p w14:paraId="587BA644" w14:textId="4642B720" w:rsidR="00BE0610" w:rsidRDefault="00BE0610" w:rsidP="00BE0610">
      <w:pPr>
        <w:pStyle w:val="a7"/>
        <w:ind w:left="880" w:firstLineChars="0" w:firstLine="0"/>
        <w:jc w:val="left"/>
        <w:rPr>
          <w:sz w:val="22"/>
          <w:szCs w:val="24"/>
        </w:rPr>
      </w:pPr>
      <w:r>
        <w:rPr>
          <w:noProof/>
        </w:rPr>
        <w:drawing>
          <wp:inline distT="0" distB="0" distL="0" distR="0" wp14:anchorId="08783320" wp14:editId="2ACA11FF">
            <wp:extent cx="5274310" cy="2118360"/>
            <wp:effectExtent l="0" t="0" r="0" b="0"/>
            <wp:docPr id="185402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26557" name=""/>
                    <pic:cNvPicPr/>
                  </pic:nvPicPr>
                  <pic:blipFill>
                    <a:blip r:embed="rId13"/>
                    <a:stretch>
                      <a:fillRect/>
                    </a:stretch>
                  </pic:blipFill>
                  <pic:spPr>
                    <a:xfrm>
                      <a:off x="0" y="0"/>
                      <a:ext cx="5274310" cy="2118360"/>
                    </a:xfrm>
                    <a:prstGeom prst="rect">
                      <a:avLst/>
                    </a:prstGeom>
                  </pic:spPr>
                </pic:pic>
              </a:graphicData>
            </a:graphic>
          </wp:inline>
        </w:drawing>
      </w:r>
    </w:p>
    <w:p w14:paraId="06828B88" w14:textId="5848C625" w:rsidR="00BE0610" w:rsidRDefault="00BE0610" w:rsidP="00BE0610">
      <w:pPr>
        <w:pStyle w:val="a7"/>
        <w:ind w:left="880" w:firstLineChars="0" w:firstLine="0"/>
        <w:jc w:val="left"/>
        <w:rPr>
          <w:sz w:val="22"/>
          <w:szCs w:val="24"/>
        </w:rPr>
      </w:pPr>
      <w:proofErr w:type="gramStart"/>
      <w:r>
        <w:rPr>
          <w:rFonts w:hint="eastAsia"/>
          <w:sz w:val="22"/>
          <w:szCs w:val="24"/>
        </w:rPr>
        <w:t>回测结果</w:t>
      </w:r>
      <w:proofErr w:type="gramEnd"/>
      <w:r>
        <w:rPr>
          <w:rFonts w:hint="eastAsia"/>
          <w:sz w:val="22"/>
          <w:szCs w:val="24"/>
        </w:rPr>
        <w:t>如下图：</w:t>
      </w:r>
    </w:p>
    <w:p w14:paraId="727D12A9" w14:textId="5867D3DB" w:rsidR="00BE0610" w:rsidRDefault="00BE0610" w:rsidP="00BE0610">
      <w:pPr>
        <w:pStyle w:val="a7"/>
        <w:ind w:left="880" w:firstLineChars="0" w:firstLine="0"/>
        <w:jc w:val="left"/>
        <w:rPr>
          <w:sz w:val="22"/>
          <w:szCs w:val="24"/>
        </w:rPr>
      </w:pPr>
      <w:r>
        <w:rPr>
          <w:noProof/>
        </w:rPr>
        <w:lastRenderedPageBreak/>
        <w:drawing>
          <wp:inline distT="0" distB="0" distL="0" distR="0" wp14:anchorId="22375BB1" wp14:editId="5708BB8B">
            <wp:extent cx="5274310" cy="2196465"/>
            <wp:effectExtent l="0" t="0" r="0" b="0"/>
            <wp:docPr id="1004551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1236" name=""/>
                    <pic:cNvPicPr/>
                  </pic:nvPicPr>
                  <pic:blipFill>
                    <a:blip r:embed="rId14"/>
                    <a:stretch>
                      <a:fillRect/>
                    </a:stretch>
                  </pic:blipFill>
                  <pic:spPr>
                    <a:xfrm>
                      <a:off x="0" y="0"/>
                      <a:ext cx="5274310" cy="2196465"/>
                    </a:xfrm>
                    <a:prstGeom prst="rect">
                      <a:avLst/>
                    </a:prstGeom>
                  </pic:spPr>
                </pic:pic>
              </a:graphicData>
            </a:graphic>
          </wp:inline>
        </w:drawing>
      </w:r>
    </w:p>
    <w:p w14:paraId="42AF2271" w14:textId="38876614" w:rsidR="00BE0610" w:rsidRDefault="00BE0610" w:rsidP="00BE0610">
      <w:pPr>
        <w:pStyle w:val="a7"/>
        <w:ind w:left="880" w:firstLineChars="0" w:firstLine="0"/>
        <w:jc w:val="left"/>
        <w:rPr>
          <w:sz w:val="22"/>
          <w:szCs w:val="24"/>
        </w:rPr>
      </w:pPr>
      <w:r>
        <w:rPr>
          <w:noProof/>
        </w:rPr>
        <w:drawing>
          <wp:inline distT="0" distB="0" distL="0" distR="0" wp14:anchorId="3D63F232" wp14:editId="71C90266">
            <wp:extent cx="5274310" cy="3025775"/>
            <wp:effectExtent l="0" t="0" r="0" b="0"/>
            <wp:docPr id="1660366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6924" name=""/>
                    <pic:cNvPicPr/>
                  </pic:nvPicPr>
                  <pic:blipFill>
                    <a:blip r:embed="rId15"/>
                    <a:stretch>
                      <a:fillRect/>
                    </a:stretch>
                  </pic:blipFill>
                  <pic:spPr>
                    <a:xfrm>
                      <a:off x="0" y="0"/>
                      <a:ext cx="5274310" cy="3025775"/>
                    </a:xfrm>
                    <a:prstGeom prst="rect">
                      <a:avLst/>
                    </a:prstGeom>
                  </pic:spPr>
                </pic:pic>
              </a:graphicData>
            </a:graphic>
          </wp:inline>
        </w:drawing>
      </w:r>
    </w:p>
    <w:p w14:paraId="5E07C032" w14:textId="654B90DD" w:rsidR="00BE0610" w:rsidRPr="00BE0610" w:rsidRDefault="00BE0610" w:rsidP="00BE0610">
      <w:pPr>
        <w:pStyle w:val="a7"/>
        <w:ind w:left="880" w:firstLineChars="0" w:firstLine="0"/>
        <w:jc w:val="left"/>
        <w:rPr>
          <w:rFonts w:hint="eastAsia"/>
          <w:sz w:val="22"/>
          <w:szCs w:val="24"/>
        </w:rPr>
      </w:pPr>
      <w:r>
        <w:rPr>
          <w:rFonts w:hint="eastAsia"/>
          <w:sz w:val="22"/>
          <w:szCs w:val="24"/>
        </w:rPr>
        <w:t>策略比较好的控制了回撤。</w:t>
      </w:r>
    </w:p>
    <w:p w14:paraId="7C644EEF" w14:textId="77777777" w:rsidR="00BE0610" w:rsidRPr="00F270BA" w:rsidRDefault="00BE0610" w:rsidP="00BE0610">
      <w:pPr>
        <w:pStyle w:val="a7"/>
        <w:ind w:left="880" w:firstLineChars="0" w:firstLine="0"/>
        <w:jc w:val="left"/>
        <w:rPr>
          <w:rFonts w:hint="eastAsia"/>
          <w:sz w:val="22"/>
          <w:szCs w:val="24"/>
        </w:rPr>
      </w:pPr>
    </w:p>
    <w:p w14:paraId="27C3970D" w14:textId="156BC52E" w:rsidR="00B0122A" w:rsidRPr="00BE0610" w:rsidRDefault="00B0122A" w:rsidP="00B0122A">
      <w:pPr>
        <w:pStyle w:val="a7"/>
        <w:numPr>
          <w:ilvl w:val="0"/>
          <w:numId w:val="2"/>
        </w:numPr>
        <w:ind w:firstLineChars="0"/>
        <w:jc w:val="left"/>
        <w:rPr>
          <w:b/>
          <w:bCs/>
          <w:sz w:val="28"/>
          <w:szCs w:val="32"/>
        </w:rPr>
      </w:pPr>
      <w:proofErr w:type="gramStart"/>
      <w:r w:rsidRPr="00BE0610">
        <w:rPr>
          <w:rFonts w:hint="eastAsia"/>
          <w:b/>
          <w:bCs/>
          <w:sz w:val="28"/>
          <w:szCs w:val="32"/>
        </w:rPr>
        <w:t>个人回测结果</w:t>
      </w:r>
      <w:proofErr w:type="gramEnd"/>
    </w:p>
    <w:p w14:paraId="5A693F3B" w14:textId="46E29668" w:rsidR="007F1C5F" w:rsidRPr="007F1C5F" w:rsidRDefault="007F1C5F" w:rsidP="007F1C5F">
      <w:pPr>
        <w:ind w:left="440" w:firstLine="400"/>
        <w:jc w:val="left"/>
        <w:rPr>
          <w:rFonts w:hint="eastAsia"/>
          <w:sz w:val="22"/>
          <w:szCs w:val="24"/>
        </w:rPr>
      </w:pPr>
      <w:r w:rsidRPr="007F1C5F">
        <w:rPr>
          <w:rFonts w:hint="eastAsia"/>
          <w:sz w:val="22"/>
          <w:szCs w:val="24"/>
        </w:rPr>
        <w:t>先分别用标准差波动率和振幅波动率进行回测，查看大致的结果</w:t>
      </w:r>
      <w:r w:rsidR="005B7500">
        <w:rPr>
          <w:rFonts w:hint="eastAsia"/>
          <w:sz w:val="22"/>
          <w:szCs w:val="24"/>
        </w:rPr>
        <w:t>趋势</w:t>
      </w:r>
      <w:r w:rsidRPr="007F1C5F">
        <w:rPr>
          <w:rFonts w:hint="eastAsia"/>
          <w:sz w:val="22"/>
          <w:szCs w:val="24"/>
        </w:rPr>
        <w:t>，再结合R</w:t>
      </w:r>
      <w:r w:rsidRPr="007F1C5F">
        <w:rPr>
          <w:sz w:val="22"/>
          <w:szCs w:val="24"/>
        </w:rPr>
        <w:t>PS</w:t>
      </w:r>
      <w:r w:rsidRPr="007F1C5F">
        <w:rPr>
          <w:rFonts w:hint="eastAsia"/>
          <w:sz w:val="22"/>
          <w:szCs w:val="24"/>
        </w:rPr>
        <w:t>构建</w:t>
      </w:r>
      <w:r>
        <w:rPr>
          <w:rFonts w:hint="eastAsia"/>
          <w:sz w:val="22"/>
          <w:szCs w:val="24"/>
        </w:rPr>
        <w:t>择时策略。</w:t>
      </w:r>
    </w:p>
    <w:p w14:paraId="152C3E28" w14:textId="7D7DB3D7" w:rsidR="007F1C5F" w:rsidRPr="005B7500" w:rsidRDefault="007F1C5F" w:rsidP="007F1C5F">
      <w:pPr>
        <w:pStyle w:val="a7"/>
        <w:ind w:left="880" w:firstLineChars="0" w:firstLine="0"/>
        <w:jc w:val="left"/>
        <w:rPr>
          <w:b/>
          <w:bCs/>
          <w:sz w:val="22"/>
          <w:szCs w:val="24"/>
        </w:rPr>
      </w:pPr>
      <w:r w:rsidRPr="005B7500">
        <w:rPr>
          <w:rFonts w:hint="eastAsia"/>
          <w:b/>
          <w:bCs/>
          <w:sz w:val="22"/>
          <w:szCs w:val="24"/>
        </w:rPr>
        <w:t>1）使用标准差波动率</w:t>
      </w:r>
      <w:proofErr w:type="gramStart"/>
      <w:r w:rsidRPr="005B7500">
        <w:rPr>
          <w:rFonts w:hint="eastAsia"/>
          <w:b/>
          <w:bCs/>
          <w:sz w:val="22"/>
          <w:szCs w:val="24"/>
        </w:rPr>
        <w:t>的回测结果</w:t>
      </w:r>
      <w:proofErr w:type="gramEnd"/>
    </w:p>
    <w:p w14:paraId="2B5FCDED" w14:textId="50562DEA" w:rsidR="00B0122A" w:rsidRPr="007F1C5F" w:rsidRDefault="00B0122A" w:rsidP="007F1C5F">
      <w:pPr>
        <w:pStyle w:val="a7"/>
        <w:ind w:left="880" w:firstLineChars="0" w:firstLine="0"/>
        <w:jc w:val="left"/>
        <w:rPr>
          <w:rFonts w:hint="eastAsia"/>
          <w:sz w:val="22"/>
          <w:szCs w:val="24"/>
        </w:rPr>
      </w:pPr>
      <w:r>
        <w:rPr>
          <w:rFonts w:hint="eastAsia"/>
          <w:sz w:val="22"/>
          <w:szCs w:val="24"/>
        </w:rPr>
        <w:t>用中证500作为标的，先测试剪刀</w:t>
      </w:r>
      <w:r w:rsidR="007F1C5F">
        <w:rPr>
          <w:rFonts w:hint="eastAsia"/>
          <w:sz w:val="22"/>
          <w:szCs w:val="24"/>
        </w:rPr>
        <w:t>差</w:t>
      </w:r>
      <w:r>
        <w:rPr>
          <w:rFonts w:hint="eastAsia"/>
          <w:sz w:val="22"/>
          <w:szCs w:val="24"/>
        </w:rPr>
        <w:t>波动率和当日收益</w:t>
      </w:r>
      <w:r w:rsidR="00E21504">
        <w:rPr>
          <w:rFonts w:hint="eastAsia"/>
          <w:sz w:val="22"/>
          <w:szCs w:val="24"/>
        </w:rPr>
        <w:t>率</w:t>
      </w:r>
      <w:r>
        <w:rPr>
          <w:rFonts w:hint="eastAsia"/>
          <w:sz w:val="22"/>
          <w:szCs w:val="24"/>
        </w:rPr>
        <w:t>之间的关系</w:t>
      </w:r>
      <w:r w:rsidR="007F1C5F">
        <w:rPr>
          <w:rFonts w:hint="eastAsia"/>
          <w:sz w:val="22"/>
          <w:szCs w:val="24"/>
        </w:rPr>
        <w:t>，分别设置窗口期为10、20、30、70日的剪刀差波动率移动平均，</w:t>
      </w:r>
      <w:r w:rsidR="007F1C5F">
        <w:rPr>
          <w:rFonts w:hint="eastAsia"/>
          <w:sz w:val="22"/>
          <w:szCs w:val="24"/>
        </w:rPr>
        <w:t>使用2020</w:t>
      </w:r>
      <w:r w:rsidR="007F1C5F">
        <w:rPr>
          <w:sz w:val="22"/>
          <w:szCs w:val="24"/>
        </w:rPr>
        <w:t>/1/1</w:t>
      </w:r>
      <w:r w:rsidR="007F1C5F">
        <w:rPr>
          <w:rFonts w:hint="eastAsia"/>
          <w:sz w:val="22"/>
          <w:szCs w:val="24"/>
        </w:rPr>
        <w:t>-2023</w:t>
      </w:r>
      <w:r w:rsidR="007F1C5F">
        <w:rPr>
          <w:sz w:val="22"/>
          <w:szCs w:val="24"/>
        </w:rPr>
        <w:t>/</w:t>
      </w:r>
      <w:r w:rsidR="007F1C5F">
        <w:rPr>
          <w:rFonts w:hint="eastAsia"/>
          <w:sz w:val="22"/>
          <w:szCs w:val="24"/>
        </w:rPr>
        <w:t>数据，计算相关系数得到：</w:t>
      </w:r>
    </w:p>
    <w:p w14:paraId="5868CF65" w14:textId="2731D33E" w:rsidR="00B65D5C" w:rsidRDefault="00C14640" w:rsidP="00695AD1">
      <w:pPr>
        <w:pStyle w:val="a7"/>
        <w:ind w:left="880" w:firstLineChars="0" w:firstLine="0"/>
        <w:jc w:val="left"/>
        <w:rPr>
          <w:sz w:val="22"/>
          <w:szCs w:val="24"/>
        </w:rPr>
      </w:pPr>
      <w:r>
        <w:rPr>
          <w:noProof/>
        </w:rPr>
        <w:drawing>
          <wp:inline distT="0" distB="0" distL="0" distR="0" wp14:anchorId="3D81CC30" wp14:editId="23AA1D0F">
            <wp:extent cx="5274310" cy="1176020"/>
            <wp:effectExtent l="0" t="0" r="2540" b="5080"/>
            <wp:docPr id="1356705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5156" name=""/>
                    <pic:cNvPicPr/>
                  </pic:nvPicPr>
                  <pic:blipFill>
                    <a:blip r:embed="rId16"/>
                    <a:stretch>
                      <a:fillRect/>
                    </a:stretch>
                  </pic:blipFill>
                  <pic:spPr>
                    <a:xfrm>
                      <a:off x="0" y="0"/>
                      <a:ext cx="5274310" cy="1176020"/>
                    </a:xfrm>
                    <a:prstGeom prst="rect">
                      <a:avLst/>
                    </a:prstGeom>
                  </pic:spPr>
                </pic:pic>
              </a:graphicData>
            </a:graphic>
          </wp:inline>
        </w:drawing>
      </w:r>
    </w:p>
    <w:p w14:paraId="3D6C7909" w14:textId="77777777" w:rsidR="00C14640" w:rsidRDefault="00C14640" w:rsidP="00695AD1">
      <w:pPr>
        <w:pStyle w:val="a7"/>
        <w:ind w:left="880" w:firstLineChars="0" w:firstLine="0"/>
        <w:jc w:val="left"/>
        <w:rPr>
          <w:sz w:val="22"/>
          <w:szCs w:val="24"/>
        </w:rPr>
      </w:pPr>
    </w:p>
    <w:p w14:paraId="59BE6082" w14:textId="5B1503D4" w:rsidR="00C14640" w:rsidRDefault="00E31146" w:rsidP="00695AD1">
      <w:pPr>
        <w:pStyle w:val="a7"/>
        <w:ind w:left="880" w:firstLineChars="0" w:firstLine="0"/>
        <w:jc w:val="left"/>
        <w:rPr>
          <w:sz w:val="22"/>
          <w:szCs w:val="24"/>
        </w:rPr>
      </w:pPr>
      <w:r>
        <w:rPr>
          <w:rFonts w:hint="eastAsia"/>
          <w:sz w:val="22"/>
          <w:szCs w:val="24"/>
        </w:rPr>
        <w:t>策略</w:t>
      </w:r>
      <w:r w:rsidR="004649C8">
        <w:rPr>
          <w:rFonts w:hint="eastAsia"/>
          <w:sz w:val="22"/>
          <w:szCs w:val="24"/>
        </w:rPr>
        <w:t>使用</w:t>
      </w:r>
      <w:r>
        <w:rPr>
          <w:rFonts w:hint="eastAsia"/>
          <w:sz w:val="22"/>
          <w:szCs w:val="24"/>
        </w:rPr>
        <w:t>10天</w:t>
      </w:r>
      <w:r w:rsidR="0095651D">
        <w:rPr>
          <w:rFonts w:hint="eastAsia"/>
          <w:sz w:val="22"/>
          <w:szCs w:val="24"/>
        </w:rPr>
        <w:t>、20天、30天</w:t>
      </w:r>
      <w:r>
        <w:rPr>
          <w:rFonts w:hint="eastAsia"/>
          <w:sz w:val="22"/>
          <w:szCs w:val="24"/>
        </w:rPr>
        <w:t>的</w:t>
      </w:r>
      <w:r w:rsidR="004649C8">
        <w:rPr>
          <w:rFonts w:hint="eastAsia"/>
          <w:sz w:val="22"/>
          <w:szCs w:val="24"/>
        </w:rPr>
        <w:t>剪刀波动率</w:t>
      </w:r>
      <w:r>
        <w:rPr>
          <w:rFonts w:hint="eastAsia"/>
          <w:sz w:val="22"/>
          <w:szCs w:val="24"/>
        </w:rPr>
        <w:t>滚动窗口期，</w:t>
      </w:r>
      <w:r w:rsidR="004649C8">
        <w:rPr>
          <w:rFonts w:hint="eastAsia"/>
          <w:sz w:val="22"/>
          <w:szCs w:val="24"/>
        </w:rPr>
        <w:t>当大于0时买入，小于0时空仓，</w:t>
      </w:r>
      <w:proofErr w:type="gramStart"/>
      <w:r w:rsidR="004649C8">
        <w:rPr>
          <w:rFonts w:hint="eastAsia"/>
          <w:sz w:val="22"/>
          <w:szCs w:val="24"/>
        </w:rPr>
        <w:t>回测得到</w:t>
      </w:r>
      <w:proofErr w:type="gramEnd"/>
      <w:r w:rsidR="004649C8">
        <w:rPr>
          <w:rFonts w:hint="eastAsia"/>
          <w:sz w:val="22"/>
          <w:szCs w:val="24"/>
        </w:rPr>
        <w:t>结果如下：</w:t>
      </w:r>
    </w:p>
    <w:p w14:paraId="0D9D445A" w14:textId="22D9F762" w:rsidR="0095651D" w:rsidRDefault="0095651D" w:rsidP="00695AD1">
      <w:pPr>
        <w:pStyle w:val="a7"/>
        <w:ind w:left="880" w:firstLineChars="0" w:firstLine="0"/>
        <w:jc w:val="left"/>
        <w:rPr>
          <w:sz w:val="22"/>
          <w:szCs w:val="24"/>
        </w:rPr>
      </w:pPr>
      <w:r>
        <w:rPr>
          <w:noProof/>
        </w:rPr>
        <w:drawing>
          <wp:inline distT="0" distB="0" distL="0" distR="0" wp14:anchorId="1EF4335C" wp14:editId="1D46463D">
            <wp:extent cx="5274310" cy="3931920"/>
            <wp:effectExtent l="0" t="0" r="2540" b="0"/>
            <wp:docPr id="176809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055" name=""/>
                    <pic:cNvPicPr/>
                  </pic:nvPicPr>
                  <pic:blipFill>
                    <a:blip r:embed="rId17"/>
                    <a:stretch>
                      <a:fillRect/>
                    </a:stretch>
                  </pic:blipFill>
                  <pic:spPr>
                    <a:xfrm>
                      <a:off x="0" y="0"/>
                      <a:ext cx="5274310" cy="3931920"/>
                    </a:xfrm>
                    <a:prstGeom prst="rect">
                      <a:avLst/>
                    </a:prstGeom>
                  </pic:spPr>
                </pic:pic>
              </a:graphicData>
            </a:graphic>
          </wp:inline>
        </w:drawing>
      </w:r>
    </w:p>
    <w:p w14:paraId="79282CD2" w14:textId="77777777" w:rsidR="007F1C5F" w:rsidRDefault="007F1C5F" w:rsidP="00695AD1">
      <w:pPr>
        <w:pStyle w:val="a7"/>
        <w:ind w:left="880" w:firstLineChars="0" w:firstLine="0"/>
        <w:jc w:val="left"/>
        <w:rPr>
          <w:sz w:val="22"/>
          <w:szCs w:val="24"/>
        </w:rPr>
      </w:pPr>
    </w:p>
    <w:p w14:paraId="006D1E84" w14:textId="7BCD37EA" w:rsidR="005B7500" w:rsidRPr="005B7500" w:rsidRDefault="005B7500" w:rsidP="005B7500">
      <w:pPr>
        <w:pStyle w:val="a7"/>
        <w:ind w:left="880" w:firstLineChars="0" w:firstLine="0"/>
        <w:jc w:val="left"/>
        <w:rPr>
          <w:b/>
          <w:bCs/>
          <w:sz w:val="22"/>
          <w:szCs w:val="24"/>
        </w:rPr>
      </w:pPr>
      <w:r w:rsidRPr="005B7500">
        <w:rPr>
          <w:rFonts w:hint="eastAsia"/>
          <w:b/>
          <w:bCs/>
          <w:sz w:val="22"/>
          <w:szCs w:val="24"/>
        </w:rPr>
        <w:t>2</w:t>
      </w:r>
      <w:r w:rsidRPr="005B7500">
        <w:rPr>
          <w:rFonts w:hint="eastAsia"/>
          <w:b/>
          <w:bCs/>
          <w:sz w:val="22"/>
          <w:szCs w:val="24"/>
        </w:rPr>
        <w:t>）使用</w:t>
      </w:r>
      <w:r w:rsidRPr="005B7500">
        <w:rPr>
          <w:rFonts w:hint="eastAsia"/>
          <w:b/>
          <w:bCs/>
          <w:sz w:val="22"/>
          <w:szCs w:val="24"/>
        </w:rPr>
        <w:t>振幅剪刀差</w:t>
      </w:r>
      <w:r w:rsidRPr="005B7500">
        <w:rPr>
          <w:rFonts w:hint="eastAsia"/>
          <w:b/>
          <w:bCs/>
          <w:sz w:val="22"/>
          <w:szCs w:val="24"/>
        </w:rPr>
        <w:t>波动率</w:t>
      </w:r>
      <w:proofErr w:type="gramStart"/>
      <w:r w:rsidRPr="005B7500">
        <w:rPr>
          <w:rFonts w:hint="eastAsia"/>
          <w:b/>
          <w:bCs/>
          <w:sz w:val="22"/>
          <w:szCs w:val="24"/>
        </w:rPr>
        <w:t>的回测结果</w:t>
      </w:r>
      <w:proofErr w:type="gramEnd"/>
    </w:p>
    <w:p w14:paraId="318552DE" w14:textId="28930743" w:rsidR="007F1C5F" w:rsidRDefault="005B7500" w:rsidP="005B7500">
      <w:pPr>
        <w:pStyle w:val="a7"/>
        <w:ind w:left="880" w:firstLineChars="0" w:firstLine="0"/>
        <w:jc w:val="left"/>
        <w:rPr>
          <w:sz w:val="22"/>
          <w:szCs w:val="24"/>
        </w:rPr>
      </w:pPr>
      <w:r>
        <w:rPr>
          <w:rFonts w:hint="eastAsia"/>
          <w:sz w:val="22"/>
          <w:szCs w:val="24"/>
        </w:rPr>
        <w:t>同样设置10、20、30天的窗口期，</w:t>
      </w:r>
      <w:proofErr w:type="gramStart"/>
      <w:r>
        <w:rPr>
          <w:rFonts w:hint="eastAsia"/>
          <w:sz w:val="22"/>
          <w:szCs w:val="24"/>
        </w:rPr>
        <w:t>显然回测结果</w:t>
      </w:r>
      <w:proofErr w:type="gramEnd"/>
      <w:r>
        <w:rPr>
          <w:rFonts w:hint="eastAsia"/>
          <w:sz w:val="22"/>
          <w:szCs w:val="24"/>
        </w:rPr>
        <w:t>好于用波动率衡量的标准差：</w:t>
      </w:r>
    </w:p>
    <w:p w14:paraId="75852FA9" w14:textId="456D9228" w:rsidR="005B7500" w:rsidRDefault="009C6E4E" w:rsidP="005B7500">
      <w:pPr>
        <w:pStyle w:val="a7"/>
        <w:ind w:left="880" w:firstLineChars="0" w:firstLine="0"/>
        <w:jc w:val="left"/>
        <w:rPr>
          <w:sz w:val="22"/>
          <w:szCs w:val="24"/>
        </w:rPr>
      </w:pPr>
      <w:r>
        <w:rPr>
          <w:noProof/>
        </w:rPr>
        <w:drawing>
          <wp:inline distT="0" distB="0" distL="0" distR="0" wp14:anchorId="178CE6F2" wp14:editId="5ED115A0">
            <wp:extent cx="5274310" cy="1033145"/>
            <wp:effectExtent l="0" t="0" r="0" b="0"/>
            <wp:docPr id="169650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06347" name=""/>
                    <pic:cNvPicPr/>
                  </pic:nvPicPr>
                  <pic:blipFill>
                    <a:blip r:embed="rId18"/>
                    <a:stretch>
                      <a:fillRect/>
                    </a:stretch>
                  </pic:blipFill>
                  <pic:spPr>
                    <a:xfrm>
                      <a:off x="0" y="0"/>
                      <a:ext cx="5274310" cy="1033145"/>
                    </a:xfrm>
                    <a:prstGeom prst="rect">
                      <a:avLst/>
                    </a:prstGeom>
                  </pic:spPr>
                </pic:pic>
              </a:graphicData>
            </a:graphic>
          </wp:inline>
        </w:drawing>
      </w:r>
    </w:p>
    <w:p w14:paraId="6BB994EE" w14:textId="7439E44D" w:rsidR="009C6E4E" w:rsidRDefault="009C6E4E" w:rsidP="005B7500">
      <w:pPr>
        <w:pStyle w:val="a7"/>
        <w:ind w:left="880" w:firstLineChars="0" w:firstLine="0"/>
        <w:jc w:val="left"/>
        <w:rPr>
          <w:rFonts w:hint="eastAsia"/>
          <w:sz w:val="22"/>
          <w:szCs w:val="24"/>
        </w:rPr>
      </w:pPr>
      <w:r>
        <w:rPr>
          <w:rFonts w:hint="eastAsia"/>
          <w:sz w:val="22"/>
          <w:szCs w:val="24"/>
        </w:rPr>
        <w:t>相关系数说明10天和20天的预测效果更好。</w:t>
      </w:r>
      <w:proofErr w:type="gramStart"/>
      <w:r>
        <w:rPr>
          <w:rFonts w:hint="eastAsia"/>
          <w:sz w:val="22"/>
          <w:szCs w:val="24"/>
        </w:rPr>
        <w:t>下图回测结果</w:t>
      </w:r>
      <w:proofErr w:type="gramEnd"/>
      <w:r>
        <w:rPr>
          <w:rFonts w:hint="eastAsia"/>
          <w:sz w:val="22"/>
          <w:szCs w:val="24"/>
        </w:rPr>
        <w:t>也是如此</w:t>
      </w:r>
    </w:p>
    <w:p w14:paraId="516A9B8E" w14:textId="36DB54E9" w:rsidR="005B7500" w:rsidRDefault="005B7500" w:rsidP="005B7500">
      <w:pPr>
        <w:pStyle w:val="a7"/>
        <w:ind w:left="880" w:firstLineChars="0" w:firstLine="0"/>
        <w:jc w:val="left"/>
        <w:rPr>
          <w:sz w:val="22"/>
          <w:szCs w:val="24"/>
        </w:rPr>
      </w:pPr>
      <w:r>
        <w:rPr>
          <w:noProof/>
        </w:rPr>
        <w:lastRenderedPageBreak/>
        <w:drawing>
          <wp:inline distT="0" distB="0" distL="0" distR="0" wp14:anchorId="1755389A" wp14:editId="4EC576E1">
            <wp:extent cx="5274310" cy="3944620"/>
            <wp:effectExtent l="0" t="0" r="0" b="0"/>
            <wp:docPr id="219513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3903" name=""/>
                    <pic:cNvPicPr/>
                  </pic:nvPicPr>
                  <pic:blipFill>
                    <a:blip r:embed="rId19"/>
                    <a:stretch>
                      <a:fillRect/>
                    </a:stretch>
                  </pic:blipFill>
                  <pic:spPr>
                    <a:xfrm>
                      <a:off x="0" y="0"/>
                      <a:ext cx="5274310" cy="3944620"/>
                    </a:xfrm>
                    <a:prstGeom prst="rect">
                      <a:avLst/>
                    </a:prstGeom>
                  </pic:spPr>
                </pic:pic>
              </a:graphicData>
            </a:graphic>
          </wp:inline>
        </w:drawing>
      </w:r>
    </w:p>
    <w:p w14:paraId="14A3D42D" w14:textId="77777777" w:rsidR="003F702F" w:rsidRDefault="003F702F" w:rsidP="005B7500">
      <w:pPr>
        <w:pStyle w:val="a7"/>
        <w:ind w:left="880" w:firstLineChars="0" w:firstLine="0"/>
        <w:jc w:val="left"/>
        <w:rPr>
          <w:sz w:val="22"/>
          <w:szCs w:val="24"/>
        </w:rPr>
      </w:pPr>
    </w:p>
    <w:p w14:paraId="2B49ED3E" w14:textId="49FFADEF" w:rsidR="003F702F" w:rsidRPr="00182F19" w:rsidRDefault="003F702F" w:rsidP="005B7500">
      <w:pPr>
        <w:pStyle w:val="a7"/>
        <w:ind w:left="880" w:firstLineChars="0" w:firstLine="0"/>
        <w:jc w:val="left"/>
        <w:rPr>
          <w:b/>
          <w:bCs/>
          <w:sz w:val="22"/>
          <w:szCs w:val="24"/>
        </w:rPr>
      </w:pPr>
      <w:r w:rsidRPr="00182F19">
        <w:rPr>
          <w:rFonts w:hint="eastAsia"/>
          <w:b/>
          <w:bCs/>
          <w:sz w:val="22"/>
          <w:szCs w:val="24"/>
        </w:rPr>
        <w:t>3）</w:t>
      </w:r>
      <w:r w:rsidRPr="00182F19">
        <w:rPr>
          <w:b/>
          <w:bCs/>
          <w:sz w:val="22"/>
          <w:szCs w:val="24"/>
        </w:rPr>
        <w:t>RPS</w:t>
      </w:r>
      <w:r w:rsidRPr="00182F19">
        <w:rPr>
          <w:rFonts w:hint="eastAsia"/>
          <w:b/>
          <w:bCs/>
          <w:sz w:val="22"/>
          <w:szCs w:val="24"/>
        </w:rPr>
        <w:t>计算以及完整策略回测</w:t>
      </w:r>
    </w:p>
    <w:p w14:paraId="26314F4B" w14:textId="77777777" w:rsidR="003F702F" w:rsidRPr="00182F19" w:rsidRDefault="003F702F" w:rsidP="005B7500">
      <w:pPr>
        <w:pStyle w:val="a7"/>
        <w:ind w:left="880" w:firstLineChars="0" w:firstLine="0"/>
        <w:jc w:val="left"/>
        <w:rPr>
          <w:sz w:val="22"/>
          <w:szCs w:val="24"/>
        </w:rPr>
      </w:pPr>
    </w:p>
    <w:p w14:paraId="560EBBAC" w14:textId="2960A159" w:rsidR="003F702F" w:rsidRDefault="003F702F" w:rsidP="003F702F">
      <w:pPr>
        <w:pStyle w:val="a7"/>
        <w:numPr>
          <w:ilvl w:val="0"/>
          <w:numId w:val="3"/>
        </w:numPr>
        <w:ind w:firstLineChars="0"/>
        <w:jc w:val="left"/>
        <w:rPr>
          <w:sz w:val="22"/>
          <w:szCs w:val="24"/>
        </w:rPr>
      </w:pPr>
      <w:r>
        <w:rPr>
          <w:rFonts w:hint="eastAsia"/>
          <w:sz w:val="22"/>
          <w:szCs w:val="24"/>
        </w:rPr>
        <w:t>使用</w:t>
      </w:r>
      <w:proofErr w:type="gramStart"/>
      <w:r>
        <w:rPr>
          <w:rFonts w:hint="eastAsia"/>
          <w:sz w:val="22"/>
          <w:szCs w:val="24"/>
        </w:rPr>
        <w:t>研</w:t>
      </w:r>
      <w:proofErr w:type="gramEnd"/>
      <w:r>
        <w:rPr>
          <w:rFonts w:hint="eastAsia"/>
          <w:sz w:val="22"/>
          <w:szCs w:val="24"/>
        </w:rPr>
        <w:t>报中的方法计算R</w:t>
      </w:r>
      <w:r>
        <w:rPr>
          <w:sz w:val="22"/>
          <w:szCs w:val="24"/>
        </w:rPr>
        <w:t>PS</w:t>
      </w:r>
      <w:r>
        <w:rPr>
          <w:rFonts w:hint="eastAsia"/>
          <w:sz w:val="22"/>
          <w:szCs w:val="24"/>
        </w:rPr>
        <w:t>，绘制曲线：</w:t>
      </w:r>
    </w:p>
    <w:p w14:paraId="484F6849" w14:textId="3A996CEA" w:rsidR="003F702F" w:rsidRDefault="00641DBB" w:rsidP="003F702F">
      <w:pPr>
        <w:pStyle w:val="a7"/>
        <w:ind w:left="1240" w:firstLineChars="0" w:firstLine="0"/>
        <w:jc w:val="left"/>
        <w:rPr>
          <w:sz w:val="22"/>
          <w:szCs w:val="24"/>
        </w:rPr>
      </w:pPr>
      <w:r>
        <w:rPr>
          <w:noProof/>
        </w:rPr>
        <w:drawing>
          <wp:inline distT="0" distB="0" distL="0" distR="0" wp14:anchorId="2AF41A1C" wp14:editId="3858992C">
            <wp:extent cx="5274310" cy="4029075"/>
            <wp:effectExtent l="0" t="0" r="0" b="0"/>
            <wp:docPr id="197549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6674" name=""/>
                    <pic:cNvPicPr/>
                  </pic:nvPicPr>
                  <pic:blipFill>
                    <a:blip r:embed="rId20"/>
                    <a:stretch>
                      <a:fillRect/>
                    </a:stretch>
                  </pic:blipFill>
                  <pic:spPr>
                    <a:xfrm>
                      <a:off x="0" y="0"/>
                      <a:ext cx="5274310" cy="4029075"/>
                    </a:xfrm>
                    <a:prstGeom prst="rect">
                      <a:avLst/>
                    </a:prstGeom>
                  </pic:spPr>
                </pic:pic>
              </a:graphicData>
            </a:graphic>
          </wp:inline>
        </w:drawing>
      </w:r>
    </w:p>
    <w:p w14:paraId="1864EEAF" w14:textId="345537C3" w:rsidR="00837F44" w:rsidRDefault="00837F44" w:rsidP="003F702F">
      <w:pPr>
        <w:pStyle w:val="a7"/>
        <w:ind w:left="1240" w:firstLineChars="0" w:firstLine="0"/>
        <w:jc w:val="left"/>
        <w:rPr>
          <w:sz w:val="22"/>
          <w:szCs w:val="24"/>
        </w:rPr>
      </w:pPr>
      <w:r>
        <w:rPr>
          <w:rFonts w:hint="eastAsia"/>
          <w:sz w:val="22"/>
          <w:szCs w:val="24"/>
        </w:rPr>
        <w:lastRenderedPageBreak/>
        <w:t>可以看到在</w:t>
      </w:r>
      <w:r w:rsidR="00641DBB">
        <w:rPr>
          <w:rFonts w:hint="eastAsia"/>
          <w:sz w:val="22"/>
          <w:szCs w:val="24"/>
        </w:rPr>
        <w:t>牛市的情况下，的确R</w:t>
      </w:r>
      <w:r w:rsidR="00641DBB">
        <w:rPr>
          <w:sz w:val="22"/>
          <w:szCs w:val="24"/>
        </w:rPr>
        <w:t>PS</w:t>
      </w:r>
      <w:r w:rsidR="00641DBB">
        <w:rPr>
          <w:rFonts w:hint="eastAsia"/>
          <w:sz w:val="22"/>
          <w:szCs w:val="24"/>
        </w:rPr>
        <w:t>会更高。</w:t>
      </w:r>
    </w:p>
    <w:p w14:paraId="697DBC20" w14:textId="3C13C431" w:rsidR="00641DBB" w:rsidRDefault="00775470" w:rsidP="00641DBB">
      <w:pPr>
        <w:pStyle w:val="a7"/>
        <w:numPr>
          <w:ilvl w:val="0"/>
          <w:numId w:val="3"/>
        </w:numPr>
        <w:ind w:firstLineChars="0"/>
        <w:jc w:val="left"/>
        <w:rPr>
          <w:sz w:val="22"/>
          <w:szCs w:val="24"/>
        </w:rPr>
      </w:pPr>
      <w:proofErr w:type="gramStart"/>
      <w:r>
        <w:rPr>
          <w:rFonts w:hint="eastAsia"/>
          <w:sz w:val="22"/>
          <w:szCs w:val="24"/>
        </w:rPr>
        <w:t>回测结果</w:t>
      </w:r>
      <w:proofErr w:type="gramEnd"/>
      <w:r>
        <w:rPr>
          <w:rFonts w:hint="eastAsia"/>
          <w:sz w:val="22"/>
          <w:szCs w:val="24"/>
        </w:rPr>
        <w:t>：</w:t>
      </w:r>
    </w:p>
    <w:p w14:paraId="6FA3DA21" w14:textId="5B8B83B8" w:rsidR="00775470" w:rsidRPr="00775470" w:rsidRDefault="00775470" w:rsidP="00775470">
      <w:pPr>
        <w:pStyle w:val="a7"/>
        <w:ind w:left="1240" w:firstLineChars="0" w:firstLine="0"/>
        <w:jc w:val="left"/>
        <w:rPr>
          <w:rFonts w:hint="eastAsia"/>
          <w:sz w:val="22"/>
          <w:szCs w:val="24"/>
        </w:rPr>
      </w:pPr>
      <w:r>
        <w:rPr>
          <w:rFonts w:hint="eastAsia"/>
          <w:sz w:val="22"/>
          <w:szCs w:val="24"/>
        </w:rPr>
        <w:t>设置R</w:t>
      </w:r>
      <w:r>
        <w:rPr>
          <w:sz w:val="22"/>
          <w:szCs w:val="24"/>
        </w:rPr>
        <w:t>PS</w:t>
      </w:r>
      <w:r>
        <w:rPr>
          <w:rFonts w:hint="eastAsia"/>
          <w:sz w:val="22"/>
          <w:szCs w:val="24"/>
        </w:rPr>
        <w:t>门槛为0.5，当大于0.5时，使用20日的移动平均剪刀差波动率作为信号，当小于0.5时使用10日作为信号，得到净值曲线如下</w:t>
      </w:r>
      <w:r>
        <w:rPr>
          <w:noProof/>
        </w:rPr>
        <w:drawing>
          <wp:inline distT="0" distB="0" distL="0" distR="0" wp14:anchorId="12F13067" wp14:editId="0BA64747">
            <wp:extent cx="5274310" cy="3990975"/>
            <wp:effectExtent l="0" t="0" r="0" b="0"/>
            <wp:docPr id="125899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9045" name=""/>
                    <pic:cNvPicPr/>
                  </pic:nvPicPr>
                  <pic:blipFill>
                    <a:blip r:embed="rId21"/>
                    <a:stretch>
                      <a:fillRect/>
                    </a:stretch>
                  </pic:blipFill>
                  <pic:spPr>
                    <a:xfrm>
                      <a:off x="0" y="0"/>
                      <a:ext cx="5274310" cy="3990975"/>
                    </a:xfrm>
                    <a:prstGeom prst="rect">
                      <a:avLst/>
                    </a:prstGeom>
                  </pic:spPr>
                </pic:pic>
              </a:graphicData>
            </a:graphic>
          </wp:inline>
        </w:drawing>
      </w:r>
    </w:p>
    <w:sectPr w:rsidR="00775470" w:rsidRPr="007754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207A" w14:textId="77777777" w:rsidR="00BA183F" w:rsidRDefault="00BA183F" w:rsidP="00D07A5F">
      <w:r>
        <w:separator/>
      </w:r>
    </w:p>
  </w:endnote>
  <w:endnote w:type="continuationSeparator" w:id="0">
    <w:p w14:paraId="41EE4F59" w14:textId="77777777" w:rsidR="00BA183F" w:rsidRDefault="00BA183F" w:rsidP="00D07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462F" w14:textId="77777777" w:rsidR="00BA183F" w:rsidRDefault="00BA183F" w:rsidP="00D07A5F">
      <w:r>
        <w:separator/>
      </w:r>
    </w:p>
  </w:footnote>
  <w:footnote w:type="continuationSeparator" w:id="0">
    <w:p w14:paraId="170ADE75" w14:textId="77777777" w:rsidR="00BA183F" w:rsidRDefault="00BA183F" w:rsidP="00D07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6463F"/>
    <w:multiLevelType w:val="hybridMultilevel"/>
    <w:tmpl w:val="3EAE2ADC"/>
    <w:lvl w:ilvl="0" w:tplc="C720AFAE">
      <w:start w:val="1"/>
      <w:numFmt w:val="decimal"/>
      <w:lvlText w:val="%1."/>
      <w:lvlJc w:val="left"/>
      <w:pPr>
        <w:ind w:left="1240" w:hanging="360"/>
      </w:pPr>
      <w:rPr>
        <w:rFonts w:hint="default"/>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 w15:restartNumberingAfterBreak="0">
    <w:nsid w:val="31B414B6"/>
    <w:multiLevelType w:val="hybridMultilevel"/>
    <w:tmpl w:val="68E204AE"/>
    <w:lvl w:ilvl="0" w:tplc="F584792A">
      <w:start w:val="1"/>
      <w:numFmt w:val="japaneseCounting"/>
      <w:lvlText w:val="%1、"/>
      <w:lvlJc w:val="left"/>
      <w:pPr>
        <w:ind w:left="880" w:hanging="440"/>
      </w:pPr>
      <w:rPr>
        <w:rFonts w:hint="default"/>
        <w:lang w:val="en-US"/>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58DE0425"/>
    <w:multiLevelType w:val="hybridMultilevel"/>
    <w:tmpl w:val="C2886B5E"/>
    <w:lvl w:ilvl="0" w:tplc="C4823DFE">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497838">
    <w:abstractNumId w:val="2"/>
  </w:num>
  <w:num w:numId="2" w16cid:durableId="369648130">
    <w:abstractNumId w:val="1"/>
  </w:num>
  <w:num w:numId="3" w16cid:durableId="987130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A4"/>
    <w:rsid w:val="000B4327"/>
    <w:rsid w:val="00147680"/>
    <w:rsid w:val="00182F19"/>
    <w:rsid w:val="001C1475"/>
    <w:rsid w:val="0021030B"/>
    <w:rsid w:val="002A7093"/>
    <w:rsid w:val="00320E75"/>
    <w:rsid w:val="003F702F"/>
    <w:rsid w:val="004649C8"/>
    <w:rsid w:val="00504861"/>
    <w:rsid w:val="00541943"/>
    <w:rsid w:val="005807AA"/>
    <w:rsid w:val="005B7500"/>
    <w:rsid w:val="005C171E"/>
    <w:rsid w:val="005E2AAC"/>
    <w:rsid w:val="005E6B95"/>
    <w:rsid w:val="00641DBB"/>
    <w:rsid w:val="00670137"/>
    <w:rsid w:val="00695AD1"/>
    <w:rsid w:val="007251A4"/>
    <w:rsid w:val="0077070A"/>
    <w:rsid w:val="00775470"/>
    <w:rsid w:val="007C3CAE"/>
    <w:rsid w:val="007F1C5F"/>
    <w:rsid w:val="00837E21"/>
    <w:rsid w:val="00837F44"/>
    <w:rsid w:val="0095651D"/>
    <w:rsid w:val="009C6E4E"/>
    <w:rsid w:val="00B0122A"/>
    <w:rsid w:val="00B31DC0"/>
    <w:rsid w:val="00B33817"/>
    <w:rsid w:val="00B44DF3"/>
    <w:rsid w:val="00B65310"/>
    <w:rsid w:val="00B65D5C"/>
    <w:rsid w:val="00BA183F"/>
    <w:rsid w:val="00BE0610"/>
    <w:rsid w:val="00BE6C16"/>
    <w:rsid w:val="00C14640"/>
    <w:rsid w:val="00D07A5F"/>
    <w:rsid w:val="00E21504"/>
    <w:rsid w:val="00E31146"/>
    <w:rsid w:val="00F270BA"/>
    <w:rsid w:val="00F60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A4700"/>
  <w15:docId w15:val="{25725F58-C661-4BDC-8CE1-850EF5F61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7A5F"/>
    <w:pPr>
      <w:tabs>
        <w:tab w:val="center" w:pos="4153"/>
        <w:tab w:val="right" w:pos="8306"/>
      </w:tabs>
      <w:snapToGrid w:val="0"/>
      <w:jc w:val="center"/>
    </w:pPr>
    <w:rPr>
      <w:sz w:val="18"/>
      <w:szCs w:val="18"/>
    </w:rPr>
  </w:style>
  <w:style w:type="character" w:customStyle="1" w:styleId="a4">
    <w:name w:val="页眉 字符"/>
    <w:basedOn w:val="a0"/>
    <w:link w:val="a3"/>
    <w:uiPriority w:val="99"/>
    <w:rsid w:val="00D07A5F"/>
    <w:rPr>
      <w:sz w:val="18"/>
      <w:szCs w:val="18"/>
    </w:rPr>
  </w:style>
  <w:style w:type="paragraph" w:styleId="a5">
    <w:name w:val="footer"/>
    <w:basedOn w:val="a"/>
    <w:link w:val="a6"/>
    <w:uiPriority w:val="99"/>
    <w:unhideWhenUsed/>
    <w:rsid w:val="00D07A5F"/>
    <w:pPr>
      <w:tabs>
        <w:tab w:val="center" w:pos="4153"/>
        <w:tab w:val="right" w:pos="8306"/>
      </w:tabs>
      <w:snapToGrid w:val="0"/>
      <w:jc w:val="left"/>
    </w:pPr>
    <w:rPr>
      <w:sz w:val="18"/>
      <w:szCs w:val="18"/>
    </w:rPr>
  </w:style>
  <w:style w:type="character" w:customStyle="1" w:styleId="a6">
    <w:name w:val="页脚 字符"/>
    <w:basedOn w:val="a0"/>
    <w:link w:val="a5"/>
    <w:uiPriority w:val="99"/>
    <w:rsid w:val="00D07A5F"/>
    <w:rPr>
      <w:sz w:val="18"/>
      <w:szCs w:val="18"/>
    </w:rPr>
  </w:style>
  <w:style w:type="paragraph" w:styleId="a7">
    <w:name w:val="List Paragraph"/>
    <w:basedOn w:val="a"/>
    <w:uiPriority w:val="34"/>
    <w:qFormat/>
    <w:rsid w:val="00D07A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178</Words>
  <Characters>1020</Characters>
  <Application>Microsoft Office Word</Application>
  <DocSecurity>0</DocSecurity>
  <Lines>8</Lines>
  <Paragraphs>2</Paragraphs>
  <ScaleCrop>false</ScaleCrop>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张豪</dc:creator>
  <cp:keywords/>
  <dc:description/>
  <cp:lastModifiedBy>李 张豪</cp:lastModifiedBy>
  <cp:revision>3</cp:revision>
  <dcterms:created xsi:type="dcterms:W3CDTF">2023-06-14T09:13:00Z</dcterms:created>
  <dcterms:modified xsi:type="dcterms:W3CDTF">2023-06-14T09:13:00Z</dcterms:modified>
</cp:coreProperties>
</file>