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Q1  </w:t>
      </w:r>
    </w:p>
    <w:p>
      <w:pPr>
        <w:pStyle w:val="Normal"/>
        <w:bidi w:val="0"/>
        <w:jc w:val="start"/>
        <w:rPr/>
      </w:pPr>
      <w:r>
        <w:rPr/>
        <w:t xml:space="preserve">- PyTorch = dynamic (define-by-run) graphs → fast research iteration, plain-Python debugging.  </w:t>
      </w:r>
    </w:p>
    <w:p>
      <w:pPr>
        <w:pStyle w:val="Normal"/>
        <w:bidi w:val="0"/>
        <w:jc w:val="start"/>
        <w:rPr/>
      </w:pPr>
      <w:r>
        <w:rPr/>
        <w:t xml:space="preserve">- TensorFlow = static graphs (TF-1) or eager+tracing (TF-2) → better production tooling (TFLite, TF-Serving, Coral-TPU).  </w:t>
      </w:r>
    </w:p>
    <w:p>
      <w:pPr>
        <w:pStyle w:val="Normal"/>
        <w:bidi w:val="0"/>
        <w:jc w:val="start"/>
        <w:rPr/>
      </w:pPr>
      <w:r>
        <w:rPr/>
        <w:t>Pick PyTorch for rapid prototyping / paper replications; pick TensorFlow when you must ship quantised models to mobile/embedded at scale.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Q2  </w:t>
      </w:r>
    </w:p>
    <w:p>
      <w:pPr>
        <w:pStyle w:val="Normal"/>
        <w:bidi w:val="0"/>
        <w:jc w:val="start"/>
        <w:rPr/>
      </w:pPr>
      <w:r>
        <w:rPr/>
        <w:t xml:space="preserve">1. Interactive visual EDA: inline matplotlib / seaborn to spot label noise or class imbalance in minutes.  </w:t>
      </w:r>
    </w:p>
    <w:p>
      <w:pPr>
        <w:pStyle w:val="Normal"/>
        <w:bidi w:val="0"/>
        <w:jc w:val="start"/>
        <w:rPr/>
      </w:pPr>
      <w:r>
        <w:rPr/>
        <w:t>2. Reproducible experiment log: one cell per training run with recorded config, loss curves, metrics; notebook committed as self-contained report.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Q3  </w:t>
      </w:r>
    </w:p>
    <w:p>
      <w:pPr>
        <w:pStyle w:val="Normal"/>
        <w:bidi w:val="0"/>
        <w:jc w:val="start"/>
        <w:rPr/>
      </w:pPr>
      <w:r>
        <w:rPr/>
        <w:t>spaCy gives Cython-speed tokenisation, POS tagging, lemmatisation, dependency trees and pretrained NER—none of which raw string slicing or regex can provide. Example: “Apple’s revenue” → spaCy dependency edge links “Apple” (poss) to “revenue”; strings alone cannot resolve such relations.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2. Comparative Analysis  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Scikit-learn                                     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TensorFlow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Target apps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Classical ML: tabular, &lt;100k rows, shallow models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Deep learning: images, speech, text, 1M+ samples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Beginner ease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3-line fit/predict, no GPU setup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Community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Stable since 2007, 50k SO Qs, enterprise trusted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Google-backed, 110k SO Qs, TFLite/TF-Hub ecosystem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2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194310"/>
                      <wp:effectExtent l="0" t="0" r="0" b="0"/>
                      <wp:wrapNone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19431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solidFill>
                                <a:srgbClr val="1F1F1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bidi w:val="0"/>
                                    <w:spacing w:before="0" w:after="14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1F1F1F" style="position:absolute;rotation:-0;width:1.15pt;height:15.3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LibreOffice/24.2.7.2$Linux_X86_64 LibreOffice_project/420$Build-2</Application>
  <AppVersion>15.0000</AppVersion>
  <Pages>1</Pages>
  <Words>171</Words>
  <Characters>1050</Characters>
  <CharactersWithSpaces>1252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2025-11-12T22:15:46Z</dcterms:created>
  <dc:creator/>
  <dc:description/>
  <dc:language>en-US</dc:language>
  <cp:lastModifiedBy/>
  <dcterms:modified xsi:type="dcterms:W3CDTF">2025-11-12T23:12:02Z</dcterms:modified>
  <cp:revision>1</cp:revision>
  <dc:subject/>
  <dc:title/>
</cp:coreProperties>
</file>