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200" w:after="120"/>
        <w:ind w:hanging="0" w:start="0" w:end="0"/>
        <w:jc w:val="start"/>
        <w:rPr/>
      </w:pPr>
      <w:r>
        <w:rPr>
          <w:rStyle w:val="Strong"/>
          <w:b/>
          <w:bCs/>
          <w:caps w:val="false"/>
          <w:smallCaps w:val="false"/>
          <w:spacing w:val="0"/>
        </w:rPr>
        <w:t>Q1: Define algorithmic bias and provide two examples of how it manifests in AI systems.</w:t>
      </w:r>
    </w:p>
    <w:p>
      <w:pPr>
        <w:pStyle w:val="BodyText"/>
        <w:bidi w:val="0"/>
        <w:jc w:val="start"/>
        <w:rPr/>
      </w:pPr>
      <w:r>
        <w:rPr>
          <w:rStyle w:val="Strong"/>
        </w:rPr>
        <w:t>Algorithmic bias</w:t>
      </w:r>
      <w:r>
        <w:rPr/>
        <w:t xml:space="preserve"> refers to systematic and unfair discrimination produced by an AI system, often resulting from biased data, flawed model design, or structural inequalities encoded in training datasets. It leads to outcomes that disproportionately disadvantage certain groups based on attributes such as gender, race, age, or socioeconomic status.</w:t>
      </w:r>
    </w:p>
    <w:p>
      <w:pPr>
        <w:pStyle w:val="BodyText"/>
        <w:bidi w:val="0"/>
        <w:jc w:val="start"/>
        <w:rPr/>
      </w:pPr>
      <w:r>
        <w:rPr>
          <w:rStyle w:val="Strong"/>
        </w:rPr>
        <w:t>Example 1:</w:t>
      </w:r>
      <w:r>
        <w:rPr/>
        <w:t xml:space="preserve"> Hiring algorithms that learn from historical company data may rank female candidates lower because past hiring patterns favored male applicants. As a result, the AI replicates and amplifies gender bias.</w:t>
      </w:r>
    </w:p>
    <w:p>
      <w:pPr>
        <w:pStyle w:val="BodyText"/>
        <w:bidi w:val="0"/>
        <w:jc w:val="start"/>
        <w:rPr/>
      </w:pPr>
      <w:r>
        <w:rPr>
          <w:rStyle w:val="Strong"/>
        </w:rPr>
        <w:t>Example 2:</w:t>
      </w:r>
      <w:r>
        <w:rPr/>
        <w:t xml:space="preserve"> Facial recognition systems trained primarily on lighter-skinned faces tend to misidentify people with darker skin at higher rates. This can lead to wrongful police stops or arrests due to inaccurate matches.</w:t>
      </w:r>
    </w:p>
    <w:p>
      <w:pPr>
        <w:pStyle w:val="Heading2"/>
        <w:bidi w:val="0"/>
        <w:jc w:val="start"/>
        <w:rPr/>
      </w:pPr>
      <w:r>
        <w:rPr>
          <w:rStyle w:val="Strong"/>
          <w:b/>
          <w:bCs/>
        </w:rPr>
        <w:t>Q2: Explain the difference between transparency and explainability in AI. Why are both important?</w:t>
      </w:r>
    </w:p>
    <w:p>
      <w:pPr>
        <w:pStyle w:val="BodyText"/>
        <w:bidi w:val="0"/>
        <w:jc w:val="start"/>
        <w:rPr/>
      </w:pPr>
      <w:r>
        <w:rPr>
          <w:rStyle w:val="Strong"/>
        </w:rPr>
        <w:t>Transparency</w:t>
      </w:r>
      <w:r>
        <w:rPr/>
        <w:t xml:space="preserve"> refers to openness about how an AI system is built, the data it uses, and the processes involved in its development. It includes documentation, data sources, model architecture, and decision pathways.</w:t>
      </w:r>
    </w:p>
    <w:p>
      <w:pPr>
        <w:pStyle w:val="BodyText"/>
        <w:bidi w:val="0"/>
        <w:jc w:val="start"/>
        <w:rPr/>
      </w:pPr>
      <w:r>
        <w:rPr>
          <w:rStyle w:val="Strong"/>
        </w:rPr>
        <w:t>Explainability</w:t>
      </w:r>
      <w:r>
        <w:rPr/>
        <w:t xml:space="preserve">, on the other hand, focuses on making an AI model’s decisions understandable to humans. It describes </w:t>
      </w:r>
      <w:r>
        <w:rPr>
          <w:rStyle w:val="Emphasis"/>
        </w:rPr>
        <w:t>why</w:t>
      </w:r>
      <w:r>
        <w:rPr/>
        <w:t xml:space="preserve"> the model made a particular prediction, classification, or recommendation.</w:t>
      </w:r>
    </w:p>
    <w:p>
      <w:pPr>
        <w:pStyle w:val="BodyText"/>
        <w:bidi w:val="0"/>
        <w:jc w:val="start"/>
        <w:rPr/>
      </w:pPr>
      <w:r>
        <w:rPr/>
        <w:t>Both are essential because transparency builds trust and enables accountability, while explainability ensures that users, regulators, and impacted individuals can interpret decisions, identify errors, and challenge unfair or harmful outcomes. Together, they support ethical AI deployment.</w:t>
      </w:r>
    </w:p>
    <w:p>
      <w:pPr>
        <w:pStyle w:val="Heading2"/>
        <w:bidi w:val="0"/>
        <w:jc w:val="start"/>
        <w:rPr/>
      </w:pPr>
      <w:r>
        <w:rPr>
          <w:rStyle w:val="Strong"/>
          <w:b/>
          <w:bCs/>
        </w:rPr>
        <w:t>Q3: How does GDPR (General Data Protection Regulation) impact AI development in the EU?</w:t>
      </w:r>
    </w:p>
    <w:p>
      <w:pPr>
        <w:pStyle w:val="BodyText"/>
        <w:bidi w:val="0"/>
        <w:jc w:val="start"/>
        <w:rPr/>
      </w:pPr>
      <w:r>
        <w:rPr/>
        <w:t>GDPR shapes AI development by enforcing strict rules around data collection, storage, and processing. It requires organizations to obtain explicit consent, minimize data usage, and justify the necessity of personal data used for AI training. The regulation also grants individuals rights such as data access, correction, deletion (“right to be forgotten”), and objection to automated decision-making.</w:t>
      </w:r>
    </w:p>
    <w:p>
      <w:pPr>
        <w:pStyle w:val="BodyText"/>
        <w:bidi w:val="0"/>
        <w:jc w:val="start"/>
        <w:rPr/>
      </w:pPr>
      <w:r>
        <w:rPr/>
        <w:t>For AI developers, GDPR encourages privacy-by-design, limits the use of sensitive attributes, and may restrict automated decisions that significantly impact individuals unless meaningful human oversight is provided. As a result, AI systems built in the EU must prioritize fairness, transparency, data protection, and accountability from the earliest stages of design.</w:t>
      </w:r>
    </w:p>
    <w:p>
      <w:pPr>
        <w:pStyle w:val="Heading1"/>
        <w:widowControl/>
        <w:bidi w:val="0"/>
        <w:ind w:hanging="0" w:start="0" w:end="0"/>
        <w:jc w:val="start"/>
        <w:rPr/>
      </w:pPr>
      <w:r>
        <w:rPr>
          <w:rStyle w:val="Strong"/>
          <w:b/>
          <w:bCs/>
          <w:caps w:val="false"/>
          <w:smallCaps w:val="false"/>
          <w:spacing w:val="0"/>
        </w:rPr>
        <w:t>Ethical Principles Matching</w:t>
      </w:r>
    </w:p>
    <w:p>
      <w:pPr>
        <w:pStyle w:val="BodyText"/>
        <w:widowControl/>
        <w:bidi w:val="0"/>
        <w:ind w:hanging="0" w:start="0" w:end="0"/>
        <w:jc w:val="start"/>
        <w:rPr>
          <w:caps w:val="false"/>
          <w:smallCaps w:val="false"/>
          <w:spacing w:val="0"/>
        </w:rPr>
      </w:pPr>
      <w:r>
        <w:rPr/>
      </w:r>
    </w:p>
    <w:tbl>
      <w:tblPr>
        <w:tblW w:w="8240" w:type="dxa"/>
        <w:jc w:val="start"/>
        <w:tblInd w:w="0" w:type="dxa"/>
        <w:tblLayout w:type="fixed"/>
        <w:tblCellMar>
          <w:top w:w="28" w:type="dxa"/>
          <w:start w:w="28" w:type="dxa"/>
          <w:bottom w:w="28" w:type="dxa"/>
          <w:end w:w="28" w:type="dxa"/>
        </w:tblCellMar>
      </w:tblPr>
      <w:tblGrid>
        <w:gridCol w:w="2127"/>
        <w:gridCol w:w="6113"/>
      </w:tblGrid>
      <w:tr>
        <w:trPr>
          <w:tblHeader w:val="true"/>
        </w:trPr>
        <w:tc>
          <w:tcPr>
            <w:tcW w:w="2127" w:type="dxa"/>
            <w:tcBorders/>
            <w:vAlign w:val="center"/>
          </w:tcPr>
          <w:p>
            <w:pPr>
              <w:pStyle w:val="TableHeading"/>
              <w:suppressLineNumbers/>
              <w:bidi w:val="0"/>
              <w:jc w:val="center"/>
              <w:rPr/>
            </w:pPr>
            <w:r>
              <w:rPr>
                <w:rStyle w:val="Strong"/>
                <w:b/>
                <w:bCs/>
              </w:rPr>
              <w:t>Principle</w:t>
            </w:r>
          </w:p>
        </w:tc>
        <w:tc>
          <w:tcPr>
            <w:tcW w:w="6113" w:type="dxa"/>
            <w:tcBorders/>
            <w:vAlign w:val="center"/>
          </w:tcPr>
          <w:p>
            <w:pPr>
              <w:pStyle w:val="TableHeading"/>
              <w:suppressLineNumbers/>
              <w:bidi w:val="0"/>
              <w:jc w:val="center"/>
              <w:rPr/>
            </w:pPr>
            <w:r>
              <w:rPr>
                <w:rStyle w:val="Strong"/>
                <w:b/>
                <w:bCs/>
              </w:rPr>
              <w:t>Correct Definition</w:t>
            </w:r>
          </w:p>
        </w:tc>
      </w:tr>
      <w:tr>
        <w:trPr/>
        <w:tc>
          <w:tcPr>
            <w:tcW w:w="2127" w:type="dxa"/>
            <w:tcBorders/>
            <w:vAlign w:val="center"/>
          </w:tcPr>
          <w:p>
            <w:pPr>
              <w:pStyle w:val="TableContents"/>
              <w:widowControl w:val="false"/>
              <w:suppressLineNumbers/>
              <w:bidi w:val="0"/>
              <w:jc w:val="start"/>
              <w:rPr/>
            </w:pPr>
            <w:r>
              <w:rPr>
                <w:rStyle w:val="Strong"/>
              </w:rPr>
              <w:t>A) Justice</w:t>
            </w:r>
          </w:p>
        </w:tc>
        <w:tc>
          <w:tcPr>
            <w:tcW w:w="6113" w:type="dxa"/>
            <w:tcBorders/>
            <w:vAlign w:val="center"/>
          </w:tcPr>
          <w:p>
            <w:pPr>
              <w:pStyle w:val="TableContents"/>
              <w:widowControl w:val="false"/>
              <w:suppressLineNumbers/>
              <w:bidi w:val="0"/>
              <w:jc w:val="start"/>
              <w:rPr/>
            </w:pPr>
            <w:r>
              <w:rPr>
                <w:rStyle w:val="Strong"/>
              </w:rPr>
              <w:t>Fair distribution of AI benefits and risks.</w:t>
            </w:r>
          </w:p>
        </w:tc>
      </w:tr>
      <w:tr>
        <w:trPr/>
        <w:tc>
          <w:tcPr>
            <w:tcW w:w="2127" w:type="dxa"/>
            <w:tcBorders/>
            <w:vAlign w:val="center"/>
          </w:tcPr>
          <w:p>
            <w:pPr>
              <w:pStyle w:val="TableContents"/>
              <w:widowControl w:val="false"/>
              <w:suppressLineNumbers/>
              <w:bidi w:val="0"/>
              <w:jc w:val="start"/>
              <w:rPr/>
            </w:pPr>
            <w:r>
              <w:rPr>
                <w:rStyle w:val="Strong"/>
              </w:rPr>
              <w:t>B) Non-maleficence</w:t>
            </w:r>
          </w:p>
        </w:tc>
        <w:tc>
          <w:tcPr>
            <w:tcW w:w="6113" w:type="dxa"/>
            <w:tcBorders/>
            <w:vAlign w:val="center"/>
          </w:tcPr>
          <w:p>
            <w:pPr>
              <w:pStyle w:val="TableContents"/>
              <w:widowControl w:val="false"/>
              <w:suppressLineNumbers/>
              <w:bidi w:val="0"/>
              <w:jc w:val="start"/>
              <w:rPr/>
            </w:pPr>
            <w:r>
              <w:rPr>
                <w:rStyle w:val="Strong"/>
              </w:rPr>
              <w:t>Ensuring AI does not harm individuals or society.</w:t>
            </w:r>
          </w:p>
        </w:tc>
      </w:tr>
      <w:tr>
        <w:trPr/>
        <w:tc>
          <w:tcPr>
            <w:tcW w:w="2127" w:type="dxa"/>
            <w:tcBorders/>
            <w:vAlign w:val="center"/>
          </w:tcPr>
          <w:p>
            <w:pPr>
              <w:pStyle w:val="TableContents"/>
              <w:widowControl w:val="false"/>
              <w:suppressLineNumbers/>
              <w:bidi w:val="0"/>
              <w:jc w:val="start"/>
              <w:rPr/>
            </w:pPr>
            <w:r>
              <w:rPr>
                <w:rStyle w:val="Strong"/>
              </w:rPr>
              <w:t>C) Autonomy</w:t>
            </w:r>
          </w:p>
        </w:tc>
        <w:tc>
          <w:tcPr>
            <w:tcW w:w="6113" w:type="dxa"/>
            <w:tcBorders/>
            <w:vAlign w:val="center"/>
          </w:tcPr>
          <w:p>
            <w:pPr>
              <w:pStyle w:val="TableContents"/>
              <w:widowControl w:val="false"/>
              <w:suppressLineNumbers/>
              <w:bidi w:val="0"/>
              <w:jc w:val="start"/>
              <w:rPr/>
            </w:pPr>
            <w:r>
              <w:rPr>
                <w:rStyle w:val="Strong"/>
              </w:rPr>
              <w:t>Respecting users’ right to control their data and decisions.</w:t>
            </w:r>
          </w:p>
        </w:tc>
      </w:tr>
      <w:tr>
        <w:trPr/>
        <w:tc>
          <w:tcPr>
            <w:tcW w:w="2127" w:type="dxa"/>
            <w:tcBorders/>
            <w:vAlign w:val="center"/>
          </w:tcPr>
          <w:p>
            <w:pPr>
              <w:pStyle w:val="TableContents"/>
              <w:widowControl w:val="false"/>
              <w:suppressLineNumbers/>
              <w:bidi w:val="0"/>
              <w:jc w:val="start"/>
              <w:rPr/>
            </w:pPr>
            <w:r>
              <w:rPr>
                <w:rStyle w:val="Strong"/>
              </w:rPr>
              <w:t>D) Sustainability</w:t>
            </w:r>
          </w:p>
        </w:tc>
        <w:tc>
          <w:tcPr>
            <w:tcW w:w="6113" w:type="dxa"/>
            <w:tcBorders/>
            <w:vAlign w:val="center"/>
          </w:tcPr>
          <w:p>
            <w:pPr>
              <w:pStyle w:val="TableContents"/>
              <w:widowControl w:val="false"/>
              <w:suppressLineNumbers/>
              <w:bidi w:val="0"/>
              <w:jc w:val="start"/>
              <w:rPr/>
            </w:pPr>
            <w:r>
              <w:rPr>
                <w:rStyle w:val="Strong"/>
              </w:rPr>
              <w:t>Designing AI to be environmentally friendly.</w:t>
            </w:r>
          </w:p>
        </w:tc>
      </w:tr>
    </w:tbl>
    <w:p>
      <w:pPr>
        <w:pStyle w:val="BodyText"/>
        <w:widowControl/>
        <w:bidi w:val="0"/>
        <w:ind w:hanging="0" w:start="0" w:end="0"/>
        <w:jc w:val="start"/>
        <w:rPr>
          <w:caps w:val="false"/>
          <w:smallCaps w:val="false"/>
          <w:spacing w:val="0"/>
        </w:rPr>
      </w:pPr>
      <w:r>
        <w:rPr/>
      </w:r>
    </w:p>
    <w:p>
      <w:pPr>
        <w:pStyle w:val="Heading1"/>
        <w:widowControl/>
        <w:bidi w:val="0"/>
        <w:ind w:hanging="0" w:start="0" w:end="0"/>
        <w:jc w:val="start"/>
        <w:rPr/>
      </w:pPr>
      <w:r>
        <w:rPr>
          <w:rStyle w:val="Strong"/>
          <w:b/>
          <w:bCs/>
          <w:caps w:val="false"/>
          <w:smallCaps w:val="false"/>
          <w:spacing w:val="0"/>
        </w:rPr>
        <w:t>Case Study Analysis</w:t>
      </w:r>
    </w:p>
    <w:p>
      <w:pPr>
        <w:pStyle w:val="Heading2"/>
        <w:bidi w:val="0"/>
        <w:jc w:val="start"/>
        <w:rPr/>
      </w:pPr>
      <w:r>
        <w:rPr>
          <w:rStyle w:val="Strong"/>
          <w:b/>
          <w:bCs/>
        </w:rPr>
        <w:t>Case 1: Biased Hiring Tool</w:t>
      </w:r>
    </w:p>
    <w:p>
      <w:pPr>
        <w:pStyle w:val="BodyText"/>
        <w:bidi w:val="0"/>
        <w:jc w:val="start"/>
        <w:rPr/>
      </w:pPr>
      <w:r>
        <w:rPr>
          <w:rStyle w:val="Strong"/>
        </w:rPr>
        <w:t>Scenario:</w:t>
      </w:r>
      <w:r>
        <w:rPr/>
        <w:t xml:space="preserve"> Amazon’s AI recruiting tool penalized female candidates.</w:t>
      </w:r>
    </w:p>
    <w:p>
      <w:pPr>
        <w:pStyle w:val="Heading3"/>
        <w:bidi w:val="0"/>
        <w:jc w:val="start"/>
        <w:rPr/>
      </w:pPr>
      <w:r>
        <w:rPr>
          <w:rStyle w:val="Strong"/>
          <w:b/>
          <w:bCs/>
        </w:rPr>
        <w:t>1. Identify the Source of Bias</w:t>
      </w:r>
    </w:p>
    <w:p>
      <w:pPr>
        <w:pStyle w:val="BodyText"/>
        <w:numPr>
          <w:ilvl w:val="0"/>
          <w:numId w:val="1"/>
        </w:numPr>
        <w:tabs>
          <w:tab w:val="clear" w:pos="709"/>
          <w:tab w:val="left" w:pos="709" w:leader="none"/>
        </w:tabs>
        <w:bidi w:val="0"/>
        <w:ind w:hanging="283" w:start="709"/>
        <w:jc w:val="start"/>
        <w:rPr/>
      </w:pPr>
      <w:r>
        <w:rPr>
          <w:rStyle w:val="Strong"/>
        </w:rPr>
        <w:t>Historical data bias:</w:t>
      </w:r>
      <w:r>
        <w:rPr/>
        <w:t xml:space="preserve"> The AI was trained on resumes submitted over a 10-year period, predominantly from male candidates. This historical imbalance led the model to favor male patterns.</w:t>
      </w:r>
    </w:p>
    <w:p>
      <w:pPr>
        <w:pStyle w:val="BodyText"/>
        <w:numPr>
          <w:ilvl w:val="0"/>
          <w:numId w:val="1"/>
        </w:numPr>
        <w:tabs>
          <w:tab w:val="clear" w:pos="709"/>
          <w:tab w:val="left" w:pos="709" w:leader="none"/>
        </w:tabs>
        <w:bidi w:val="0"/>
        <w:ind w:hanging="283" w:start="709"/>
        <w:jc w:val="start"/>
        <w:rPr/>
      </w:pPr>
      <w:r>
        <w:rPr>
          <w:rStyle w:val="Strong"/>
        </w:rPr>
        <w:t>Feature selection bias:</w:t>
      </w:r>
      <w:r>
        <w:rPr/>
        <w:t xml:space="preserve"> The model considered gender-related indicators such as specific words (“women’s”, “female”) or schools/positions that were male-dominated.</w:t>
      </w:r>
    </w:p>
    <w:p>
      <w:pPr>
        <w:pStyle w:val="BodyText"/>
        <w:numPr>
          <w:ilvl w:val="0"/>
          <w:numId w:val="1"/>
        </w:numPr>
        <w:tabs>
          <w:tab w:val="clear" w:pos="709"/>
          <w:tab w:val="left" w:pos="709" w:leader="none"/>
        </w:tabs>
        <w:bidi w:val="0"/>
        <w:ind w:hanging="283" w:start="709"/>
        <w:jc w:val="start"/>
        <w:rPr/>
      </w:pPr>
      <w:r>
        <w:rPr>
          <w:rStyle w:val="Strong"/>
        </w:rPr>
        <w:t>Model design bias:</w:t>
      </w:r>
      <w:r>
        <w:rPr/>
        <w:t xml:space="preserve"> The algorithm optimized for similarity to past hires without fairness constraints, reinforcing existing gender disparities.</w:t>
      </w:r>
    </w:p>
    <w:p>
      <w:pPr>
        <w:pStyle w:val="Heading3"/>
        <w:bidi w:val="0"/>
        <w:jc w:val="start"/>
        <w:rPr/>
      </w:pPr>
      <w:r>
        <w:rPr>
          <w:rStyle w:val="Strong"/>
          <w:b/>
          <w:bCs/>
        </w:rPr>
        <w:t>2. Proposed Fixes to Make the Tool Fairer</w:t>
      </w:r>
    </w:p>
    <w:p>
      <w:pPr>
        <w:pStyle w:val="BodyText"/>
        <w:numPr>
          <w:ilvl w:val="0"/>
          <w:numId w:val="2"/>
        </w:numPr>
        <w:tabs>
          <w:tab w:val="clear" w:pos="709"/>
          <w:tab w:val="left" w:pos="709" w:leader="none"/>
        </w:tabs>
        <w:bidi w:val="0"/>
        <w:ind w:hanging="283" w:start="709"/>
        <w:jc w:val="start"/>
        <w:rPr/>
      </w:pPr>
      <w:r>
        <w:rPr>
          <w:rStyle w:val="Strong"/>
        </w:rPr>
        <w:t>Rebalance training data</w:t>
      </w:r>
      <w:r>
        <w:rPr/>
        <w:t xml:space="preserve"> by including an equal number of male and female resumes, or apply reweighting techniques to reduce gender bias.</w:t>
      </w:r>
    </w:p>
    <w:p>
      <w:pPr>
        <w:pStyle w:val="BodyText"/>
        <w:numPr>
          <w:ilvl w:val="0"/>
          <w:numId w:val="2"/>
        </w:numPr>
        <w:tabs>
          <w:tab w:val="clear" w:pos="709"/>
          <w:tab w:val="left" w:pos="709" w:leader="none"/>
        </w:tabs>
        <w:bidi w:val="0"/>
        <w:ind w:hanging="283" w:start="709"/>
        <w:jc w:val="start"/>
        <w:rPr/>
      </w:pPr>
      <w:r>
        <w:rPr>
          <w:rStyle w:val="Strong"/>
        </w:rPr>
        <w:t>Remove gender-sensitive features</w:t>
      </w:r>
      <w:r>
        <w:rPr/>
        <w:t xml:space="preserve"> or replace them with neutral indicators that reflect skills and experience rather than demographic traits.</w:t>
      </w:r>
    </w:p>
    <w:p>
      <w:pPr>
        <w:pStyle w:val="BodyText"/>
        <w:numPr>
          <w:ilvl w:val="0"/>
          <w:numId w:val="2"/>
        </w:numPr>
        <w:tabs>
          <w:tab w:val="clear" w:pos="709"/>
          <w:tab w:val="left" w:pos="709" w:leader="none"/>
        </w:tabs>
        <w:bidi w:val="0"/>
        <w:ind w:hanging="283" w:start="709"/>
        <w:jc w:val="start"/>
        <w:rPr/>
      </w:pPr>
      <w:r>
        <w:rPr>
          <w:rStyle w:val="Strong"/>
        </w:rPr>
        <w:t>Implement fairness-aware algorithms</w:t>
      </w:r>
      <w:r>
        <w:rPr/>
        <w:t xml:space="preserve"> such as adversarial debiasing or constraint-based models to explicitly enforce gender fairness during training.</w:t>
      </w:r>
    </w:p>
    <w:p>
      <w:pPr>
        <w:pStyle w:val="Heading3"/>
        <w:bidi w:val="0"/>
        <w:jc w:val="start"/>
        <w:rPr/>
      </w:pPr>
      <w:r>
        <w:rPr>
          <w:rStyle w:val="Strong"/>
          <w:b/>
          <w:bCs/>
        </w:rPr>
        <w:t>3. Metrics to Evaluate Fairness Post-Correction</w:t>
      </w:r>
    </w:p>
    <w:p>
      <w:pPr>
        <w:pStyle w:val="BodyText"/>
        <w:numPr>
          <w:ilvl w:val="0"/>
          <w:numId w:val="3"/>
        </w:numPr>
        <w:tabs>
          <w:tab w:val="clear" w:pos="709"/>
          <w:tab w:val="left" w:pos="709" w:leader="none"/>
        </w:tabs>
        <w:bidi w:val="0"/>
        <w:ind w:hanging="283" w:start="709"/>
        <w:jc w:val="start"/>
        <w:rPr/>
      </w:pPr>
      <w:r>
        <w:rPr>
          <w:rStyle w:val="Strong"/>
        </w:rPr>
        <w:t>Disparate Impact Ratio:</w:t>
      </w:r>
      <w:r>
        <w:rPr/>
        <w:t xml:space="preserve"> Measures selection rate differences between male and female candidates.</w:t>
      </w:r>
    </w:p>
    <w:p>
      <w:pPr>
        <w:pStyle w:val="BodyText"/>
        <w:numPr>
          <w:ilvl w:val="0"/>
          <w:numId w:val="3"/>
        </w:numPr>
        <w:tabs>
          <w:tab w:val="clear" w:pos="709"/>
          <w:tab w:val="left" w:pos="709" w:leader="none"/>
        </w:tabs>
        <w:bidi w:val="0"/>
        <w:ind w:hanging="283" w:start="709"/>
        <w:jc w:val="start"/>
        <w:rPr/>
      </w:pPr>
      <w:r>
        <w:rPr>
          <w:rStyle w:val="Strong"/>
        </w:rPr>
        <w:t>Equal Opportunity Difference:</w:t>
      </w:r>
      <w:r>
        <w:rPr/>
        <w:t xml:space="preserve"> Compares true positive rates between genders.</w:t>
      </w:r>
    </w:p>
    <w:p>
      <w:pPr>
        <w:pStyle w:val="BodyText"/>
        <w:numPr>
          <w:ilvl w:val="0"/>
          <w:numId w:val="3"/>
        </w:numPr>
        <w:tabs>
          <w:tab w:val="clear" w:pos="709"/>
          <w:tab w:val="left" w:pos="709" w:leader="none"/>
        </w:tabs>
        <w:bidi w:val="0"/>
        <w:ind w:hanging="283" w:start="709"/>
        <w:jc w:val="start"/>
        <w:rPr/>
      </w:pPr>
      <w:r>
        <w:rPr>
          <w:rStyle w:val="Strong"/>
        </w:rPr>
        <w:t>Statistical Parity Difference:</w:t>
      </w:r>
      <w:r>
        <w:rPr/>
        <w:t xml:space="preserve"> Ensures the probability of being selected is similar across genders.</w:t>
      </w:r>
    </w:p>
    <w:p>
      <w:pPr>
        <w:pStyle w:val="Heading2"/>
        <w:bidi w:val="0"/>
        <w:jc w:val="start"/>
        <w:rPr/>
      </w:pPr>
      <w:r>
        <w:rPr>
          <w:rStyle w:val="Strong"/>
          <w:b/>
          <w:bCs/>
        </w:rPr>
        <w:t>Case 2: Facial Recognition in Policing</w:t>
      </w:r>
    </w:p>
    <w:p>
      <w:pPr>
        <w:pStyle w:val="BodyText"/>
        <w:bidi w:val="0"/>
        <w:jc w:val="start"/>
        <w:rPr/>
      </w:pPr>
      <w:r>
        <w:rPr>
          <w:rStyle w:val="Strong"/>
        </w:rPr>
        <w:t>Scenario:</w:t>
      </w:r>
      <w:r>
        <w:rPr/>
        <w:t xml:space="preserve"> A facial recognition system misidentifies minorities at higher rates.</w:t>
      </w:r>
    </w:p>
    <w:p>
      <w:pPr>
        <w:pStyle w:val="Heading3"/>
        <w:bidi w:val="0"/>
        <w:jc w:val="start"/>
        <w:rPr/>
      </w:pPr>
      <w:r>
        <w:rPr>
          <w:rStyle w:val="Strong"/>
          <w:b/>
          <w:bCs/>
        </w:rPr>
        <w:t>1. Ethical Risks</w:t>
      </w:r>
    </w:p>
    <w:p>
      <w:pPr>
        <w:pStyle w:val="BodyText"/>
        <w:numPr>
          <w:ilvl w:val="0"/>
          <w:numId w:val="4"/>
        </w:numPr>
        <w:tabs>
          <w:tab w:val="clear" w:pos="709"/>
          <w:tab w:val="left" w:pos="709" w:leader="none"/>
        </w:tabs>
        <w:bidi w:val="0"/>
        <w:ind w:hanging="283" w:start="709"/>
        <w:jc w:val="start"/>
        <w:rPr/>
      </w:pPr>
      <w:r>
        <w:rPr>
          <w:rStyle w:val="Strong"/>
        </w:rPr>
        <w:t>Wrongful arrests:</w:t>
      </w:r>
      <w:r>
        <w:rPr/>
        <w:t xml:space="preserve"> Misidentifications can lead to innocent people being accused, detained, or prosecuted.</w:t>
      </w:r>
    </w:p>
    <w:p>
      <w:pPr>
        <w:pStyle w:val="BodyText"/>
        <w:numPr>
          <w:ilvl w:val="0"/>
          <w:numId w:val="4"/>
        </w:numPr>
        <w:tabs>
          <w:tab w:val="clear" w:pos="709"/>
          <w:tab w:val="left" w:pos="709" w:leader="none"/>
        </w:tabs>
        <w:bidi w:val="0"/>
        <w:ind w:hanging="283" w:start="709"/>
        <w:jc w:val="start"/>
        <w:rPr/>
      </w:pPr>
      <w:r>
        <w:rPr>
          <w:rStyle w:val="Strong"/>
        </w:rPr>
        <w:t>Privacy violations:</w:t>
      </w:r>
      <w:r>
        <w:rPr/>
        <w:t xml:space="preserve"> Continuous surveillance without consent infringes on civil liberties.</w:t>
      </w:r>
    </w:p>
    <w:p>
      <w:pPr>
        <w:pStyle w:val="BodyText"/>
        <w:numPr>
          <w:ilvl w:val="0"/>
          <w:numId w:val="4"/>
        </w:numPr>
        <w:tabs>
          <w:tab w:val="clear" w:pos="709"/>
          <w:tab w:val="left" w:pos="709" w:leader="none"/>
        </w:tabs>
        <w:bidi w:val="0"/>
        <w:ind w:hanging="283" w:start="709"/>
        <w:jc w:val="start"/>
        <w:rPr/>
      </w:pPr>
      <w:r>
        <w:rPr>
          <w:rStyle w:val="Strong"/>
        </w:rPr>
        <w:t>Discrimination and social injustice:</w:t>
      </w:r>
      <w:r>
        <w:rPr/>
        <w:t xml:space="preserve"> Higher error rates for certain racial groups perpetuate systemic bias.</w:t>
      </w:r>
    </w:p>
    <w:p>
      <w:pPr>
        <w:pStyle w:val="BodyText"/>
        <w:numPr>
          <w:ilvl w:val="0"/>
          <w:numId w:val="4"/>
        </w:numPr>
        <w:tabs>
          <w:tab w:val="clear" w:pos="709"/>
          <w:tab w:val="left" w:pos="709" w:leader="none"/>
        </w:tabs>
        <w:bidi w:val="0"/>
        <w:ind w:hanging="283" w:start="709"/>
        <w:jc w:val="start"/>
        <w:rPr/>
      </w:pPr>
      <w:r>
        <w:rPr>
          <w:rStyle w:val="Strong"/>
        </w:rPr>
        <w:t>Erosion of trust:</w:t>
      </w:r>
      <w:r>
        <w:rPr/>
        <w:t xml:space="preserve"> Public confidence in law enforcement and AI technology decreases.</w:t>
      </w:r>
    </w:p>
    <w:p>
      <w:pPr>
        <w:pStyle w:val="Heading3"/>
        <w:bidi w:val="0"/>
        <w:jc w:val="start"/>
        <w:rPr/>
      </w:pPr>
      <w:r>
        <w:rPr>
          <w:rStyle w:val="Strong"/>
          <w:b/>
          <w:bCs/>
        </w:rPr>
        <w:t>2. Recommended Policies for Responsible Deployment</w:t>
      </w:r>
    </w:p>
    <w:p>
      <w:pPr>
        <w:pStyle w:val="BodyText"/>
        <w:numPr>
          <w:ilvl w:val="0"/>
          <w:numId w:val="5"/>
        </w:numPr>
        <w:tabs>
          <w:tab w:val="clear" w:pos="709"/>
          <w:tab w:val="left" w:pos="709" w:leader="none"/>
        </w:tabs>
        <w:bidi w:val="0"/>
        <w:ind w:hanging="283" w:start="709"/>
        <w:jc w:val="start"/>
        <w:rPr/>
      </w:pPr>
      <w:r>
        <w:rPr>
          <w:rStyle w:val="Strong"/>
        </w:rPr>
        <w:t>Mandatory human oversight:</w:t>
      </w:r>
      <w:r>
        <w:rPr/>
        <w:t xml:space="preserve"> AI should assist, not replace, human judgment in high-stakes decisions.</w:t>
      </w:r>
    </w:p>
    <w:p>
      <w:pPr>
        <w:pStyle w:val="BodyText"/>
        <w:numPr>
          <w:ilvl w:val="0"/>
          <w:numId w:val="5"/>
        </w:numPr>
        <w:tabs>
          <w:tab w:val="clear" w:pos="709"/>
          <w:tab w:val="left" w:pos="709" w:leader="none"/>
        </w:tabs>
        <w:bidi w:val="0"/>
        <w:ind w:hanging="283" w:start="709"/>
        <w:jc w:val="start"/>
        <w:rPr/>
      </w:pPr>
      <w:r>
        <w:rPr>
          <w:rStyle w:val="Strong"/>
        </w:rPr>
        <w:t>Independent auditing:</w:t>
      </w:r>
      <w:r>
        <w:rPr/>
        <w:t xml:space="preserve"> Regular audits for accuracy and bias across demographics.</w:t>
      </w:r>
    </w:p>
    <w:p>
      <w:pPr>
        <w:pStyle w:val="BodyText"/>
        <w:numPr>
          <w:ilvl w:val="0"/>
          <w:numId w:val="5"/>
        </w:numPr>
        <w:tabs>
          <w:tab w:val="clear" w:pos="709"/>
          <w:tab w:val="left" w:pos="709" w:leader="none"/>
        </w:tabs>
        <w:bidi w:val="0"/>
        <w:ind w:hanging="283" w:start="709"/>
        <w:jc w:val="start"/>
        <w:rPr/>
      </w:pPr>
      <w:r>
        <w:rPr>
          <w:rStyle w:val="Strong"/>
        </w:rPr>
        <w:t>Transparency requirements:</w:t>
      </w:r>
      <w:r>
        <w:rPr/>
        <w:t xml:space="preserve"> Document datasets, model design, and error rates publicly.</w:t>
      </w:r>
    </w:p>
    <w:p>
      <w:pPr>
        <w:pStyle w:val="BodyText"/>
        <w:numPr>
          <w:ilvl w:val="0"/>
          <w:numId w:val="5"/>
        </w:numPr>
        <w:tabs>
          <w:tab w:val="clear" w:pos="709"/>
          <w:tab w:val="left" w:pos="709" w:leader="none"/>
        </w:tabs>
        <w:bidi w:val="0"/>
        <w:ind w:hanging="283" w:start="709"/>
        <w:jc w:val="start"/>
        <w:rPr/>
      </w:pPr>
      <w:r>
        <w:rPr>
          <w:rStyle w:val="Strong"/>
        </w:rPr>
        <w:t>Restrict high-stakes usage:</w:t>
      </w:r>
      <w:r>
        <w:rPr/>
        <w:t xml:space="preserve"> Limit deployment to situations with minimal risk of harm until accuracy improves.</w:t>
      </w:r>
    </w:p>
    <w:p>
      <w:pPr>
        <w:pStyle w:val="BodyText"/>
        <w:numPr>
          <w:ilvl w:val="0"/>
          <w:numId w:val="5"/>
        </w:numPr>
        <w:tabs>
          <w:tab w:val="clear" w:pos="709"/>
          <w:tab w:val="left" w:pos="709" w:leader="none"/>
        </w:tabs>
        <w:bidi w:val="0"/>
        <w:ind w:hanging="283" w:start="709"/>
        <w:jc w:val="start"/>
        <w:rPr/>
      </w:pPr>
      <w:r>
        <w:rPr>
          <w:rStyle w:val="Strong"/>
        </w:rPr>
        <w:t>Community engagement:</w:t>
      </w:r>
      <w:r>
        <w:rPr/>
        <w:t xml:space="preserve"> Include public input and ethical review boards in decision-making processes.</w:t>
      </w:r>
    </w:p>
    <w:p>
      <w:pPr>
        <w:pStyle w:val="BodyText"/>
        <w:widowControl/>
        <w:bidi w:val="0"/>
        <w:spacing w:before="0" w:after="140"/>
        <w:ind w:hanging="0" w:start="0" w:end="0"/>
        <w:jc w:val="start"/>
        <w:rPr>
          <w:caps w:val="false"/>
          <w:smallCaps w:val="false"/>
          <w:spacing w:val="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LibreOffice/24.2.7.2$Linux_X86_64 LibreOffice_project/420$Build-2</Application>
  <AppVersion>15.0000</AppVersion>
  <Pages>3</Pages>
  <Words>744</Words>
  <Characters>4608</Characters>
  <CharactersWithSpaces>5284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2025-12-03T22:20:26Z</dcterms:created>
  <dc:creator/>
  <dc:description/>
  <dc:language>en-US</dc:language>
  <cp:lastModifiedBy/>
  <dcterms:modified xsi:type="dcterms:W3CDTF">2025-12-03T23:38:59Z</dcterms:modified>
  <cp:revision>1</cp:revision>
  <dc:subject/>
  <dc:title/>
</cp:coreProperties>
</file>