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478B3" w14:textId="1A628118" w:rsidR="00351948" w:rsidRDefault="00354130">
      <w:pPr>
        <w:rPr>
          <w:szCs w:val="21"/>
        </w:rPr>
      </w:pPr>
      <w:r>
        <w:rPr>
          <w:rFonts w:hint="eastAsia"/>
        </w:rPr>
        <w:t>对于第四问的求解，我们使用了在论文</w:t>
      </w:r>
      <w:proofErr w:type="spellStart"/>
      <w:r w:rsidR="000C4E1E" w:rsidRPr="000C4E1E">
        <w:rPr>
          <w:i/>
          <w:iCs/>
          <w:sz w:val="15"/>
          <w:szCs w:val="15"/>
        </w:rPr>
        <w:t>DeepTrader</w:t>
      </w:r>
      <w:proofErr w:type="spellEnd"/>
      <w:r w:rsidR="000C4E1E" w:rsidRPr="000C4E1E">
        <w:rPr>
          <w:i/>
          <w:iCs/>
          <w:sz w:val="15"/>
          <w:szCs w:val="15"/>
        </w:rPr>
        <w:t>: A Deep Reinforcement Learning Approach for Risk-Return Balanced Portfolio Management with Market Conditions Embedding</w:t>
      </w:r>
      <w:r w:rsidR="000C4E1E">
        <w:rPr>
          <w:i/>
          <w:iCs/>
          <w:sz w:val="15"/>
          <w:szCs w:val="15"/>
        </w:rPr>
        <w:t xml:space="preserve"> </w:t>
      </w:r>
      <w:r w:rsidR="000C4E1E">
        <w:rPr>
          <w:rFonts w:hint="eastAsia"/>
          <w:sz w:val="15"/>
          <w:szCs w:val="15"/>
        </w:rPr>
        <w:t xml:space="preserve"> </w:t>
      </w:r>
      <w:r w:rsidR="000C4E1E">
        <w:rPr>
          <w:rFonts w:hint="eastAsia"/>
          <w:szCs w:val="21"/>
        </w:rPr>
        <w:t>中提出的模型</w:t>
      </w:r>
      <w:proofErr w:type="spellStart"/>
      <w:r w:rsidR="00FB093B">
        <w:rPr>
          <w:rFonts w:hint="eastAsia"/>
          <w:szCs w:val="21"/>
        </w:rPr>
        <w:t>Deep</w:t>
      </w:r>
      <w:r w:rsidR="00FB093B">
        <w:rPr>
          <w:szCs w:val="21"/>
        </w:rPr>
        <w:t>T</w:t>
      </w:r>
      <w:r w:rsidR="00FB093B">
        <w:rPr>
          <w:rFonts w:hint="eastAsia"/>
          <w:szCs w:val="21"/>
        </w:rPr>
        <w:t>rader</w:t>
      </w:r>
      <w:proofErr w:type="spellEnd"/>
    </w:p>
    <w:p w14:paraId="7946BCA5" w14:textId="77777777" w:rsidR="000C4E1E" w:rsidRDefault="000C4E1E">
      <w:pPr>
        <w:rPr>
          <w:szCs w:val="21"/>
        </w:rPr>
      </w:pPr>
    </w:p>
    <w:p w14:paraId="44AD62BA" w14:textId="3D1ADAB1" w:rsidR="000C4E1E" w:rsidRDefault="000C4E1E">
      <w:pPr>
        <w:rPr>
          <w:szCs w:val="21"/>
        </w:rPr>
      </w:pPr>
      <w:r w:rsidRPr="000C4E1E">
        <w:rPr>
          <w:rFonts w:hint="eastAsia"/>
          <w:szCs w:val="21"/>
        </w:rPr>
        <w:t>如下图所示，</w:t>
      </w:r>
      <w:proofErr w:type="spellStart"/>
      <w:r w:rsidRPr="000C4E1E">
        <w:rPr>
          <w:szCs w:val="21"/>
        </w:rPr>
        <w:t>DeepTrader</w:t>
      </w:r>
      <w:proofErr w:type="spellEnd"/>
      <w:r w:rsidRPr="000C4E1E">
        <w:rPr>
          <w:szCs w:val="21"/>
        </w:rPr>
        <w:t>主要由三个部分组成：</w:t>
      </w:r>
    </w:p>
    <w:p w14:paraId="0CC86331" w14:textId="6B83A5E6" w:rsidR="000C4E1E" w:rsidRPr="000C4E1E" w:rsidRDefault="000C4E1E" w:rsidP="000C4E1E">
      <w:pPr>
        <w:rPr>
          <w:i/>
          <w:szCs w:val="21"/>
        </w:rPr>
      </w:pPr>
      <w:r>
        <w:rPr>
          <w:szCs w:val="21"/>
        </w:rPr>
        <w:t>1.</w:t>
      </w:r>
      <w:r w:rsidRPr="000C4E1E">
        <w:rPr>
          <w:szCs w:val="21"/>
        </w:rPr>
        <w:t xml:space="preserve">Asset scoring unit。输入为股票指数 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sup>
        </m:sSubSup>
        <m:r>
          <m:rPr>
            <m:sty m:val="p"/>
          </m:rPr>
          <w:rPr>
            <w:rFonts w:ascii="Cambria Math" w:eastAsia="MS Mincho" w:hAnsi="Cambria Math" w:cs="MS Mincho" w:hint="eastAsia"/>
            <w:szCs w:val="21"/>
          </w:rPr>
          <m:t>​</m:t>
        </m:r>
      </m:oMath>
      <w:r>
        <w:rPr>
          <w:rFonts w:hint="eastAsia"/>
          <w:szCs w:val="21"/>
        </w:rPr>
        <w:t xml:space="preserve"> </w:t>
      </w:r>
      <w:r w:rsidRPr="000C4E1E">
        <w:rPr>
          <w:szCs w:val="21"/>
        </w:rPr>
        <w:t>和构建的</w:t>
      </w:r>
      <w:proofErr w:type="gramStart"/>
      <w:r w:rsidRPr="000C4E1E">
        <w:rPr>
          <w:szCs w:val="21"/>
        </w:rPr>
        <w:t>图结构</w:t>
      </w:r>
      <w:proofErr w:type="gramEnd"/>
      <w:r w:rsidRPr="000C4E1E">
        <w:rPr>
          <w:szCs w:val="21"/>
        </w:rPr>
        <w:t xml:space="preserve"> A，输出为赢家得分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sub>
        </m:sSub>
      </m:oMath>
    </w:p>
    <w:p w14:paraId="178C5130" w14:textId="77777777" w:rsidR="000C4E1E" w:rsidRPr="000C4E1E" w:rsidRDefault="000C4E1E" w:rsidP="000C4E1E">
      <w:pPr>
        <w:rPr>
          <w:szCs w:val="21"/>
        </w:rPr>
      </w:pPr>
    </w:p>
    <w:p w14:paraId="7E91F6F5" w14:textId="743DC457" w:rsidR="000C4E1E" w:rsidRDefault="000C4E1E" w:rsidP="000C4E1E">
      <w:pPr>
        <w:rPr>
          <w:szCs w:val="21"/>
        </w:rPr>
      </w:pPr>
      <w:r>
        <w:rPr>
          <w:szCs w:val="21"/>
        </w:rPr>
        <w:t>2.</w:t>
      </w:r>
      <w:r w:rsidRPr="000C4E1E">
        <w:rPr>
          <w:szCs w:val="21"/>
        </w:rPr>
        <w:t xml:space="preserve">Market scoring unit。输入为市场标准 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m</m:t>
            </m:r>
          </m:sup>
        </m:sSubSup>
      </m:oMath>
      <w:r w:rsidRPr="000C4E1E">
        <w:rPr>
          <w:szCs w:val="21"/>
        </w:rPr>
        <w:t>，输出一个高斯分布</w:t>
      </w:r>
      <m:oMath>
        <m:acc>
          <m:accPr>
            <m:chr m:val="̃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ρ</m:t>
            </m:r>
          </m:e>
        </m:acc>
      </m:oMath>
      <w:r w:rsidRPr="000C4E1E">
        <w:rPr>
          <w:szCs w:val="21"/>
        </w:rPr>
        <w:t>的参数（均值和方差）。</w:t>
      </w:r>
    </w:p>
    <w:p w14:paraId="6B9A1AFA" w14:textId="77777777" w:rsidR="000C4E1E" w:rsidRPr="000C4E1E" w:rsidRDefault="000C4E1E" w:rsidP="000C4E1E">
      <w:pPr>
        <w:rPr>
          <w:szCs w:val="21"/>
        </w:rPr>
      </w:pPr>
    </w:p>
    <w:p w14:paraId="7D319BFF" w14:textId="77777777" w:rsidR="0042212C" w:rsidRPr="0042212C" w:rsidRDefault="000C4E1E" w:rsidP="000C4E1E">
      <w:pPr>
        <w:rPr>
          <w:szCs w:val="21"/>
        </w:rPr>
      </w:pPr>
      <w:r>
        <w:rPr>
          <w:szCs w:val="21"/>
        </w:rPr>
        <w:t>3.</w:t>
      </w:r>
      <w:r w:rsidRPr="000C4E1E">
        <w:rPr>
          <w:szCs w:val="21"/>
        </w:rPr>
        <w:t>Portfolio generator。输入为赢家得分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sub>
        </m:sSub>
      </m:oMath>
      <w:r w:rsidRPr="000C4E1E">
        <w:rPr>
          <w:szCs w:val="21"/>
        </w:rPr>
        <w:t xml:space="preserve">和高斯分布 </w:t>
      </w:r>
      <m:oMath>
        <m:acc>
          <m:accPr>
            <m:chr m:val="̃"/>
            <m:ctrlPr>
              <w:rPr>
                <w:rFonts w:ascii="Cambria Math" w:hAnsi="Cambria Math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ρ</m:t>
            </m:r>
          </m:e>
        </m:acc>
      </m:oMath>
      <w:r w:rsidRPr="000C4E1E">
        <w:rPr>
          <w:szCs w:val="21"/>
        </w:rPr>
        <w:t>，输出为做空总资产比例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sub>
        </m:sSub>
      </m:oMath>
    </w:p>
    <w:p w14:paraId="454DCDBD" w14:textId="33CB7D19" w:rsidR="000C4E1E" w:rsidRPr="0042212C" w:rsidRDefault="000C4E1E" w:rsidP="000C4E1E">
      <w:pPr>
        <w:rPr>
          <w:szCs w:val="21"/>
        </w:rPr>
      </w:pPr>
      <w:r w:rsidRPr="000C4E1E">
        <w:rPr>
          <w:szCs w:val="21"/>
        </w:rPr>
        <w:t>和投资组合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+</m:t>
            </m:r>
          </m:sup>
        </m:sSubSup>
      </m:oMath>
      <w:r w:rsidRPr="000C4E1E">
        <w:rPr>
          <w:szCs w:val="21"/>
        </w:rPr>
        <w:t xml:space="preserve">  和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</m:sup>
        </m:sSubSup>
      </m:oMath>
      <w:r w:rsidR="0042212C">
        <w:rPr>
          <w:rFonts w:hint="eastAsia"/>
          <w:szCs w:val="21"/>
        </w:rPr>
        <w:t>。</w:t>
      </w:r>
    </w:p>
    <w:p w14:paraId="6EA49544" w14:textId="48266574" w:rsidR="000C4E1E" w:rsidRDefault="0042212C">
      <w:pPr>
        <w:rPr>
          <w:noProof/>
          <w:szCs w:val="21"/>
        </w:rPr>
      </w:pPr>
      <w:bookmarkStart w:id="0" w:name="_GoBack"/>
      <w:r w:rsidRPr="0042212C">
        <w:rPr>
          <w:noProof/>
          <w:szCs w:val="21"/>
        </w:rPr>
        <w:drawing>
          <wp:inline distT="0" distB="0" distL="0" distR="0" wp14:anchorId="040EF4C7" wp14:editId="481442FE">
            <wp:extent cx="5274310" cy="1765300"/>
            <wp:effectExtent l="0" t="0" r="2540" b="6350"/>
            <wp:docPr id="178741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1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3F6F3F2" w14:textId="77777777" w:rsidR="009D0317" w:rsidRDefault="009D0317">
      <w:pPr>
        <w:rPr>
          <w:noProof/>
          <w:szCs w:val="21"/>
        </w:rPr>
      </w:pPr>
    </w:p>
    <w:p w14:paraId="04EDC906" w14:textId="77777777" w:rsidR="005212EF" w:rsidRPr="005212EF" w:rsidRDefault="0042212C">
      <w:pPr>
        <w:rPr>
          <w:szCs w:val="21"/>
        </w:rPr>
      </w:pPr>
      <w:r>
        <w:rPr>
          <w:rFonts w:hint="eastAsia"/>
          <w:noProof/>
          <w:szCs w:val="21"/>
        </w:rPr>
        <w:t>对于中特估股票，我们将</w:t>
      </w:r>
      <w:r w:rsidRPr="000C4E1E">
        <w:rPr>
          <w:szCs w:val="21"/>
        </w:rPr>
        <w:t>股票指数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sup>
        </m:sSubSup>
      </m:oMath>
      <w:r>
        <w:rPr>
          <w:rFonts w:hint="eastAsia"/>
          <w:noProof/>
          <w:szCs w:val="21"/>
        </w:rPr>
        <w:t>定义为</w:t>
      </w:r>
      <w:r w:rsidR="005212EF">
        <w:rPr>
          <w:rFonts w:hint="eastAsia"/>
          <w:szCs w:val="21"/>
        </w:rPr>
        <w:t>中</w:t>
      </w:r>
      <w:proofErr w:type="gramStart"/>
      <w:r w:rsidR="005212EF">
        <w:rPr>
          <w:rFonts w:hint="eastAsia"/>
          <w:szCs w:val="21"/>
        </w:rPr>
        <w:t>特</w:t>
      </w:r>
      <w:proofErr w:type="gramEnd"/>
      <w:r w:rsidR="005212EF">
        <w:rPr>
          <w:rFonts w:hint="eastAsia"/>
          <w:szCs w:val="21"/>
        </w:rPr>
        <w:t>估指标</w:t>
      </w:r>
    </w:p>
    <w:p w14:paraId="543283BE" w14:textId="77777777" w:rsidR="005212EF" w:rsidRDefault="0042212C">
      <w:pPr>
        <w:rPr>
          <w:noProof/>
        </w:rPr>
      </w:pPr>
      <m:oMathPara>
        <m:oMath>
          <m:r>
            <w:rPr>
              <w:rFonts w:ascii="Cambria Math" w:hAnsi="Cambria Math"/>
            </w:rPr>
            <m:t>[PE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PB</m:t>
          </m:r>
          <m:r>
            <w:rPr>
              <w:rFonts w:ascii="Cambria Math" w:hAnsi="Cambria Math" w:hint="eastAsia"/>
            </w:rPr>
            <m:t>,</m:t>
          </m:r>
          <m:r>
            <m:rPr>
              <m:nor/>
            </m:rPr>
            <w:rPr>
              <w:rFonts w:ascii="Cambria Math" w:hAnsi="Cambria Math"/>
            </w:rPr>
            <m:t>EV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DR,CR,CAGR]</m:t>
          </m:r>
        </m:oMath>
      </m:oMathPara>
    </w:p>
    <w:p w14:paraId="0FF1D486" w14:textId="31458CAD" w:rsidR="005212EF" w:rsidRDefault="0042212C">
      <w:pPr>
        <w:rPr>
          <w:noProof/>
          <w:szCs w:val="21"/>
        </w:rPr>
      </w:pPr>
      <w:r>
        <w:rPr>
          <w:rFonts w:hint="eastAsia"/>
          <w:noProof/>
          <w:szCs w:val="21"/>
        </w:rPr>
        <w:t>在时间维度上的矩阵</w:t>
      </w:r>
      <w:r>
        <w:rPr>
          <w:noProof/>
          <w:szCs w:val="21"/>
        </w:rPr>
        <w:br/>
      </w:r>
    </w:p>
    <w:p w14:paraId="54A93849" w14:textId="6735A46D" w:rsidR="0042212C" w:rsidRDefault="0042212C">
      <w:pPr>
        <w:rPr>
          <w:szCs w:val="21"/>
        </w:rPr>
      </w:pPr>
      <w:r>
        <w:rPr>
          <w:noProof/>
          <w:szCs w:val="21"/>
        </w:rPr>
        <w:br/>
      </w:r>
      <w:r>
        <w:rPr>
          <w:rFonts w:hint="eastAsia"/>
          <w:noProof/>
          <w:szCs w:val="21"/>
        </w:rPr>
        <w:t>将</w:t>
      </w:r>
      <w:r w:rsidRPr="000C4E1E">
        <w:rPr>
          <w:szCs w:val="21"/>
        </w:rPr>
        <w:t xml:space="preserve">市场标准 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m</m:t>
            </m:r>
          </m:sup>
        </m:sSubSup>
      </m:oMath>
      <w:r>
        <w:rPr>
          <w:rFonts w:hint="eastAsia"/>
          <w:szCs w:val="21"/>
        </w:rPr>
        <w:t>定义为</w:t>
      </w:r>
      <w:r w:rsidR="005212EF">
        <w:rPr>
          <w:rFonts w:hint="eastAsia"/>
          <w:szCs w:val="21"/>
        </w:rPr>
        <w:t>中</w:t>
      </w:r>
      <w:proofErr w:type="gramStart"/>
      <w:r w:rsidR="005212EF">
        <w:rPr>
          <w:rFonts w:hint="eastAsia"/>
          <w:szCs w:val="21"/>
        </w:rPr>
        <w:t>特</w:t>
      </w:r>
      <w:proofErr w:type="gramEnd"/>
      <w:r w:rsidR="005212EF">
        <w:rPr>
          <w:rFonts w:hint="eastAsia"/>
          <w:szCs w:val="21"/>
        </w:rPr>
        <w:t>估指标</w:t>
      </w:r>
    </w:p>
    <w:p w14:paraId="4C13913B" w14:textId="77777777" w:rsidR="005212EF" w:rsidRDefault="005212EF">
      <m:oMathPara>
        <m:oMath>
          <m:r>
            <w:rPr>
              <w:rFonts w:ascii="Cambria Math" w:hAnsi="Cambria Math"/>
            </w:rPr>
            <m:t>[</m:t>
          </m:r>
          <m:r>
            <w:rPr>
              <w:rFonts w:ascii="Cambria Math" w:hAnsi="Cambria Math" w:hint="eastAsia"/>
            </w:rPr>
            <m:t>GR,GC,</m:t>
          </m:r>
          <m:r>
            <m:rPr>
              <m:nor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α,NPI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NKA,TSI,IPI,SOE,VOL</m:t>
          </m:r>
          <m:r>
            <w:rPr>
              <w:rFonts w:ascii="Cambria Math" w:hAnsi="Cambria Math" w:hint="eastAsia"/>
            </w:rPr>
            <m:t>,P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 w:hint="eastAsia"/>
                </w:rPr>
                <m:t>相对</m:t>
              </m:r>
            </m:sub>
          </m:sSub>
          <m:r>
            <w:rPr>
              <w:rFonts w:ascii="Cambria Math" w:hAnsi="Cambria Math" w:hint="eastAsia"/>
            </w:rPr>
            <m:t>,</m:t>
          </m:r>
          <m:r>
            <m:rPr>
              <m:nor/>
            </m:rPr>
            <w:rPr>
              <w:rFonts w:ascii="Cambria Math" w:hAnsi="Cambria Math"/>
            </w:rPr>
            <m:t>Beta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DER,ICR]</m:t>
          </m:r>
        </m:oMath>
      </m:oMathPara>
    </w:p>
    <w:p w14:paraId="39C730AE" w14:textId="24437CB2" w:rsidR="0042212C" w:rsidRDefault="005212EF">
      <w:pPr>
        <w:rPr>
          <w:noProof/>
          <w:szCs w:val="21"/>
        </w:rPr>
      </w:pPr>
      <w:r>
        <w:rPr>
          <w:rFonts w:hint="eastAsia"/>
          <w:szCs w:val="21"/>
        </w:rPr>
        <w:t>在时间维度上的矩阵</w:t>
      </w:r>
    </w:p>
    <w:p w14:paraId="0806461F" w14:textId="77777777" w:rsidR="005212EF" w:rsidRDefault="005212EF">
      <w:pPr>
        <w:rPr>
          <w:szCs w:val="21"/>
        </w:rPr>
      </w:pPr>
    </w:p>
    <w:p w14:paraId="2A9A23EC" w14:textId="0D4ED33D" w:rsidR="005212EF" w:rsidRDefault="005212EF">
      <w:pPr>
        <w:rPr>
          <w:szCs w:val="21"/>
        </w:rPr>
      </w:pPr>
      <w:r>
        <w:rPr>
          <w:rFonts w:hint="eastAsia"/>
          <w:szCs w:val="21"/>
        </w:rPr>
        <w:t>相应的，将L</w:t>
      </w:r>
      <w:r>
        <w:rPr>
          <w:szCs w:val="21"/>
        </w:rPr>
        <w:t>STM</w:t>
      </w:r>
      <w:r>
        <w:rPr>
          <w:rFonts w:hint="eastAsia"/>
          <w:szCs w:val="21"/>
        </w:rPr>
        <w:t>层和T</w:t>
      </w:r>
      <w:r>
        <w:rPr>
          <w:szCs w:val="21"/>
        </w:rPr>
        <w:t>CN</w:t>
      </w:r>
      <w:proofErr w:type="gramStart"/>
      <w:r>
        <w:rPr>
          <w:rFonts w:hint="eastAsia"/>
          <w:szCs w:val="21"/>
        </w:rPr>
        <w:t>层接受</w:t>
      </w:r>
      <w:proofErr w:type="gramEnd"/>
      <w:r>
        <w:rPr>
          <w:rFonts w:hint="eastAsia"/>
          <w:szCs w:val="21"/>
        </w:rPr>
        <w:t>的特征数量分别设置为6个，1</w:t>
      </w:r>
      <w:r>
        <w:rPr>
          <w:szCs w:val="21"/>
        </w:rPr>
        <w:t>5</w:t>
      </w:r>
      <w:r>
        <w:rPr>
          <w:rFonts w:hint="eastAsia"/>
          <w:szCs w:val="21"/>
        </w:rPr>
        <w:t>个。</w:t>
      </w:r>
    </w:p>
    <w:p w14:paraId="44E4DFA4" w14:textId="77777777" w:rsidR="005212EF" w:rsidRDefault="005212EF">
      <w:pPr>
        <w:rPr>
          <w:szCs w:val="21"/>
        </w:rPr>
      </w:pPr>
    </w:p>
    <w:p w14:paraId="7784472D" w14:textId="77777777" w:rsidR="005212EF" w:rsidRDefault="005212EF">
      <w:pPr>
        <w:rPr>
          <w:szCs w:val="21"/>
        </w:rPr>
      </w:pPr>
    </w:p>
    <w:p w14:paraId="3D192FFC" w14:textId="77777777" w:rsidR="009D0317" w:rsidRDefault="009D0317">
      <w:pPr>
        <w:rPr>
          <w:szCs w:val="21"/>
        </w:rPr>
      </w:pPr>
    </w:p>
    <w:p w14:paraId="1F237036" w14:textId="77777777" w:rsidR="009D0317" w:rsidRDefault="009D0317">
      <w:pPr>
        <w:rPr>
          <w:szCs w:val="21"/>
        </w:rPr>
      </w:pPr>
    </w:p>
    <w:p w14:paraId="368D7F02" w14:textId="77777777" w:rsidR="009D0317" w:rsidRDefault="009D0317">
      <w:pPr>
        <w:rPr>
          <w:szCs w:val="21"/>
        </w:rPr>
      </w:pPr>
    </w:p>
    <w:p w14:paraId="6FD64C6E" w14:textId="77777777" w:rsidR="009D0317" w:rsidRDefault="009D0317">
      <w:pPr>
        <w:rPr>
          <w:szCs w:val="21"/>
        </w:rPr>
      </w:pPr>
    </w:p>
    <w:p w14:paraId="0E04DB37" w14:textId="77777777" w:rsidR="009D0317" w:rsidRDefault="009D0317">
      <w:pPr>
        <w:rPr>
          <w:szCs w:val="21"/>
        </w:rPr>
      </w:pPr>
    </w:p>
    <w:p w14:paraId="0BDEE495" w14:textId="77777777" w:rsidR="009D0317" w:rsidRDefault="009D0317">
      <w:pPr>
        <w:rPr>
          <w:szCs w:val="21"/>
        </w:rPr>
      </w:pPr>
    </w:p>
    <w:p w14:paraId="2687579F" w14:textId="77777777" w:rsidR="009D0317" w:rsidRDefault="009D0317">
      <w:pPr>
        <w:rPr>
          <w:szCs w:val="21"/>
        </w:rPr>
      </w:pPr>
    </w:p>
    <w:p w14:paraId="7902CE66" w14:textId="77777777" w:rsidR="009D0317" w:rsidRDefault="009D0317">
      <w:pPr>
        <w:rPr>
          <w:szCs w:val="21"/>
        </w:rPr>
      </w:pPr>
    </w:p>
    <w:p w14:paraId="6C596165" w14:textId="77777777" w:rsidR="009D0317" w:rsidRDefault="009D0317">
      <w:pPr>
        <w:rPr>
          <w:szCs w:val="21"/>
        </w:rPr>
      </w:pPr>
    </w:p>
    <w:p w14:paraId="0DAB380C" w14:textId="77777777" w:rsidR="009D0317" w:rsidRDefault="009D0317">
      <w:pPr>
        <w:rPr>
          <w:szCs w:val="21"/>
        </w:rPr>
      </w:pPr>
    </w:p>
    <w:p w14:paraId="22DE4B5E" w14:textId="77777777" w:rsidR="009D0317" w:rsidRDefault="009D0317">
      <w:pPr>
        <w:rPr>
          <w:szCs w:val="21"/>
        </w:rPr>
      </w:pPr>
    </w:p>
    <w:p w14:paraId="018B0568" w14:textId="0E52B3D8" w:rsidR="009D0317" w:rsidRDefault="005212EF">
      <w:pPr>
        <w:rPr>
          <w:szCs w:val="21"/>
        </w:rPr>
      </w:pPr>
      <w:r>
        <w:rPr>
          <w:rFonts w:hint="eastAsia"/>
          <w:szCs w:val="21"/>
        </w:rPr>
        <w:lastRenderedPageBreak/>
        <w:t>下面介绍网络中各个模型</w:t>
      </w:r>
      <w:r w:rsidR="00F33FD3">
        <w:rPr>
          <w:rFonts w:hint="eastAsia"/>
          <w:szCs w:val="21"/>
        </w:rPr>
        <w:t>结构</w:t>
      </w:r>
    </w:p>
    <w:p w14:paraId="24266361" w14:textId="28D55887" w:rsidR="005212EF" w:rsidRPr="005212EF" w:rsidRDefault="005212EF" w:rsidP="005212EF">
      <w:pPr>
        <w:rPr>
          <w:szCs w:val="21"/>
        </w:rPr>
      </w:pPr>
      <w:r>
        <w:rPr>
          <w:szCs w:val="21"/>
        </w:rPr>
        <w:t>1.A</w:t>
      </w:r>
      <w:r w:rsidRPr="005212EF">
        <w:rPr>
          <w:szCs w:val="21"/>
        </w:rPr>
        <w:t>sset Scoring Unit</w:t>
      </w:r>
    </w:p>
    <w:p w14:paraId="3C547532" w14:textId="36EC42B9" w:rsidR="005212EF" w:rsidRDefault="005212EF" w:rsidP="005212EF">
      <w:pPr>
        <w:rPr>
          <w:szCs w:val="21"/>
        </w:rPr>
      </w:pPr>
      <w:r w:rsidRPr="005212EF">
        <w:rPr>
          <w:rFonts w:hint="eastAsia"/>
          <w:szCs w:val="21"/>
        </w:rPr>
        <w:t>该单元由</w:t>
      </w:r>
      <w:r w:rsidRPr="005212EF">
        <w:rPr>
          <w:szCs w:val="21"/>
        </w:rPr>
        <w:t xml:space="preserve"> L </w:t>
      </w:r>
      <w:proofErr w:type="gramStart"/>
      <w:r w:rsidRPr="005212EF">
        <w:rPr>
          <w:szCs w:val="21"/>
        </w:rPr>
        <w:t>个</w:t>
      </w:r>
      <w:proofErr w:type="gramEnd"/>
      <w:r w:rsidRPr="005212EF">
        <w:rPr>
          <w:szCs w:val="21"/>
        </w:rPr>
        <w:t>带有残差连接的 Spatial-TCN 块堆叠而成。Spatial-TCN 块主要由三部分组成：时间卷积层、空间注意力机制和 图卷积层。</w:t>
      </w:r>
    </w:p>
    <w:p w14:paraId="3DE42AF0" w14:textId="62F142F6" w:rsidR="009D0317" w:rsidRDefault="009D0317" w:rsidP="005212EF">
      <w:pPr>
        <w:rPr>
          <w:szCs w:val="21"/>
        </w:rPr>
      </w:pPr>
      <w:r w:rsidRPr="009D0317">
        <w:rPr>
          <w:noProof/>
          <w:szCs w:val="21"/>
        </w:rPr>
        <w:drawing>
          <wp:inline distT="0" distB="0" distL="0" distR="0" wp14:anchorId="5CA2CCEE" wp14:editId="4F14E46D">
            <wp:extent cx="3452775" cy="2822452"/>
            <wp:effectExtent l="0" t="0" r="0" b="0"/>
            <wp:docPr id="1263308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080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1807" cy="28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0771" w14:textId="21167F3E" w:rsidR="009D0317" w:rsidRPr="005D196E" w:rsidRDefault="005D196E" w:rsidP="005D196E">
      <w:pPr>
        <w:rPr>
          <w:szCs w:val="21"/>
        </w:rPr>
      </w:pPr>
      <w:r w:rsidRPr="005D196E">
        <w:rPr>
          <w:rFonts w:hint="eastAsia"/>
          <w:szCs w:val="21"/>
        </w:rPr>
        <w:t>我们把第</w:t>
      </w:r>
      <w:r w:rsidRPr="005D196E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l</m:t>
        </m:r>
      </m:oMath>
      <w:r>
        <w:rPr>
          <w:rFonts w:hint="eastAsia"/>
          <w:szCs w:val="21"/>
        </w:rPr>
        <w:t xml:space="preserve"> </w:t>
      </w:r>
      <w:r w:rsidRPr="005D196E">
        <w:rPr>
          <w:szCs w:val="21"/>
        </w:rPr>
        <w:t>块（block）的输入记作</w:t>
      </w:r>
      <w:r>
        <w:rPr>
          <w:rFonts w:hint="eastAsia"/>
          <w:szCs w:val="21"/>
        </w:rPr>
        <w:t xml:space="preserve"> </w:t>
      </w:r>
    </w:p>
    <w:p w14:paraId="35E01010" w14:textId="72472801" w:rsidR="00F33FD3" w:rsidRPr="005D196E" w:rsidRDefault="005D196E" w:rsidP="005D196E">
      <w:pPr>
        <w:jc w:val="center"/>
        <w:rPr>
          <w:szCs w:val="21"/>
        </w:rPr>
      </w:pPr>
      <w:r w:rsidRPr="005D196E">
        <w:rPr>
          <w:noProof/>
          <w:szCs w:val="21"/>
        </w:rPr>
        <w:drawing>
          <wp:inline distT="0" distB="0" distL="0" distR="0" wp14:anchorId="2ED6A9B3" wp14:editId="57284BB6">
            <wp:extent cx="2178657" cy="567142"/>
            <wp:effectExtent l="0" t="0" r="0" b="4445"/>
            <wp:docPr id="1839544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44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669" cy="5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D619" w14:textId="5B58ED4B" w:rsidR="00F33FD3" w:rsidRPr="005D196E" w:rsidRDefault="005D196E" w:rsidP="005212EF">
      <w:pPr>
        <w:rPr>
          <w:sz w:val="15"/>
          <w:szCs w:val="15"/>
        </w:rPr>
      </w:pPr>
      <m:oMathPara>
        <m:oMath>
          <m:r>
            <w:rPr>
              <w:rFonts w:ascii="Cambria Math" w:hAnsi="Cambria Math" w:hint="eastAsia"/>
              <w:sz w:val="15"/>
              <w:szCs w:val="15"/>
            </w:rPr>
            <m:t>其中</m:t>
          </m:r>
          <m:r>
            <w:rPr>
              <w:rFonts w:ascii="Cambria Math" w:hAnsi="Cambria Math"/>
              <w:sz w:val="15"/>
              <w:szCs w:val="15"/>
            </w:rPr>
            <m:t>N</m:t>
          </m:r>
          <m:r>
            <w:rPr>
              <w:rFonts w:ascii="Cambria Math" w:hAnsi="Cambria Math"/>
              <w:sz w:val="15"/>
              <w:szCs w:val="15"/>
            </w:rPr>
            <m:t>是股票数量，</m:t>
          </m:r>
          <m:r>
            <w:rPr>
              <w:rFonts w:ascii="Cambria Math" w:hAnsi="Cambria Math"/>
              <w:sz w:val="15"/>
              <w:szCs w:val="15"/>
            </w:rPr>
            <m:t>C</m:t>
          </m:r>
          <m:r>
            <w:rPr>
              <w:rFonts w:ascii="Cambria Math" w:hAnsi="Cambria Math"/>
              <w:sz w:val="15"/>
              <w:szCs w:val="15"/>
            </w:rPr>
            <m:t>是隐藏层特征维度，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K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l-1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为第</m:t>
          </m:r>
          <m:r>
            <w:rPr>
              <w:rFonts w:ascii="Cambria Math" w:hAnsi="Cambria Math"/>
              <w:sz w:val="15"/>
              <w:szCs w:val="15"/>
            </w:rPr>
            <m:t>-1</m:t>
          </m:r>
          <m:r>
            <w:rPr>
              <w:rFonts w:ascii="Cambria Math" w:hAnsi="Cambria Math"/>
              <w:sz w:val="15"/>
              <w:szCs w:val="15"/>
            </w:rPr>
            <m:t>块的时间长度。沿时间维度进行</m:t>
          </m:r>
          <m:r>
            <w:rPr>
              <w:rFonts w:ascii="Cambria Math" w:hAnsi="Cambria Math"/>
              <w:sz w:val="15"/>
              <w:szCs w:val="15"/>
            </w:rPr>
            <m:t xml:space="preserve"> TCN</m:t>
          </m:r>
          <m:r>
            <w:rPr>
              <w:rFonts w:ascii="Cambria Math" w:hAnsi="Cambria Math"/>
              <w:sz w:val="15"/>
              <w:szCs w:val="15"/>
            </w:rPr>
            <m:t>运算后，</m:t>
          </m:r>
          <m:r>
            <m:rPr>
              <m:nor/>
            </m:rPr>
            <w:rPr>
              <w:rFonts w:ascii="Cambria Math" w:hAnsi="Cambria Math"/>
              <w:sz w:val="15"/>
              <w:szCs w:val="15"/>
            </w:rPr>
            <m:t>TCN</m:t>
          </m:r>
          <m:r>
            <w:rPr>
              <w:rFonts w:ascii="Cambria Math" w:hAnsi="Cambria Math"/>
              <w:sz w:val="15"/>
              <w:szCs w:val="15"/>
            </w:rPr>
            <m:t>的输出为</m:t>
          </m:r>
          <w:bookmarkStart w:id="1" w:name="_Hlk150282815"/>
          <m:acc>
            <m:accPr>
              <m:ctrlPr>
                <w:rPr>
                  <w:rFonts w:ascii="Cambria Math" w:hAnsi="Cambria Math"/>
                  <w:sz w:val="15"/>
                  <w:szCs w:val="15"/>
                </w:rPr>
              </m:ctrlPr>
            </m:accPr>
            <m:e>
              <w:bookmarkStart w:id="2" w:name="_Hlk150283261"/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H</m:t>
                  </m: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l</m:t>
                  </m:r>
                </m:sup>
              </m:sSup>
              <w:bookmarkEnd w:id="2"/>
            </m:e>
          </m:acc>
          <w:bookmarkEnd w:id="1"/>
          <m:r>
            <w:rPr>
              <w:rFonts w:ascii="Cambria Math" w:hAnsi="Cambria Math"/>
              <w:sz w:val="15"/>
              <w:szCs w:val="15"/>
            </w:rPr>
            <m:t>。</m:t>
          </m:r>
        </m:oMath>
      </m:oMathPara>
    </w:p>
    <w:p w14:paraId="0C38C23F" w14:textId="0AECCB1B" w:rsidR="005D196E" w:rsidRDefault="005D196E" w:rsidP="005D196E">
      <w:pPr>
        <w:jc w:val="left"/>
        <w:rPr>
          <w:szCs w:val="21"/>
        </w:rPr>
      </w:pPr>
      <w:r w:rsidRPr="005D196E">
        <w:rPr>
          <w:rFonts w:hint="eastAsia"/>
          <w:szCs w:val="21"/>
        </w:rPr>
        <w:t>用</w:t>
      </w:r>
      <w:r w:rsidRPr="005D196E">
        <w:rPr>
          <w:szCs w:val="21"/>
        </w:rPr>
        <w:t>TCN提取的股票时间特征</w:t>
      </w:r>
      <m:oMath>
        <m:acc>
          <m:accPr>
            <m:ctrlPr>
              <w:rPr>
                <w:rFonts w:ascii="Cambria Math" w:hAnsi="Cambria Math"/>
                <w:szCs w:val="21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H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acc>
      </m:oMath>
      <w:r w:rsidRPr="005D196E">
        <w:rPr>
          <w:rFonts w:hint="eastAsia"/>
          <w:szCs w:val="21"/>
        </w:rPr>
        <w:t>分别被输入到</w:t>
      </w:r>
      <w:r w:rsidRPr="005D196E">
        <w:rPr>
          <w:szCs w:val="21"/>
        </w:rPr>
        <w:t>spatial attention和GCN两个组件中产生股票短期相关性权重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 w:hint="eastAsia"/>
                <w:szCs w:val="21"/>
              </w:rPr>
              <m:t>l</m:t>
            </m:r>
          </m:sup>
        </m:sSup>
      </m:oMath>
      <w:r>
        <w:rPr>
          <w:rFonts w:hint="eastAsia"/>
          <w:szCs w:val="21"/>
        </w:rPr>
        <w:t>和长期相关性权重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Z</m:t>
            </m:r>
          </m:e>
          <m:sup>
            <m:r>
              <w:rPr>
                <w:rFonts w:ascii="Cambria Math" w:hAnsi="Cambria Math" w:hint="eastAsia"/>
                <w:szCs w:val="21"/>
              </w:rPr>
              <m:t>l</m:t>
            </m:r>
          </m:sup>
        </m:sSup>
      </m:oMath>
      <w:r w:rsidRPr="005D196E">
        <w:rPr>
          <w:rFonts w:hint="eastAsia"/>
          <w:szCs w:val="21"/>
        </w:rPr>
        <w:t>两者相乘作为股票的最终空间相关性权重</w:t>
      </w:r>
    </w:p>
    <w:p w14:paraId="46463438" w14:textId="77777777" w:rsidR="005D196E" w:rsidRDefault="005D196E" w:rsidP="005D196E">
      <w:pPr>
        <w:jc w:val="left"/>
        <w:rPr>
          <w:szCs w:val="21"/>
        </w:rPr>
      </w:pPr>
    </w:p>
    <w:p w14:paraId="6662982B" w14:textId="21358EA9" w:rsidR="005D196E" w:rsidRDefault="005D196E" w:rsidP="005D196E">
      <w:pPr>
        <w:jc w:val="left"/>
        <w:rPr>
          <w:szCs w:val="21"/>
        </w:rPr>
      </w:pPr>
      <w:r w:rsidRPr="005D196E">
        <w:rPr>
          <w:rFonts w:hint="eastAsia"/>
          <w:szCs w:val="21"/>
        </w:rPr>
        <w:t>为了模拟股票之间的短期空间属性。得到</w:t>
      </w:r>
      <w:r w:rsidRPr="005D196E">
        <w:rPr>
          <w:szCs w:val="21"/>
        </w:rPr>
        <w:t>TCN输出的股票时间特征表示</w:t>
      </w:r>
      <m:oMath>
        <m:acc>
          <m:accPr>
            <m:ctrlPr>
              <w:rPr>
                <w:rFonts w:ascii="Cambria Math" w:hAnsi="Cambria Math"/>
                <w:szCs w:val="21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H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acc>
      </m:oMath>
      <w:r>
        <w:rPr>
          <w:rFonts w:hint="eastAsia"/>
          <w:szCs w:val="21"/>
        </w:rPr>
        <w:t>后，</w:t>
      </w:r>
      <w:r w:rsidRPr="005D196E">
        <w:rPr>
          <w:rFonts w:hint="eastAsia"/>
          <w:szCs w:val="21"/>
        </w:rPr>
        <w:t>输入到空间注意力机制中用来产生一个权重，这个权重代表股票间的相关性关系</w:t>
      </w:r>
      <w:r w:rsidRPr="005D196E">
        <w:rPr>
          <w:szCs w:val="21"/>
        </w:rPr>
        <w:t>:</w:t>
      </w:r>
    </w:p>
    <w:p w14:paraId="30EC4D53" w14:textId="02B98526" w:rsidR="005D196E" w:rsidRDefault="005D196E" w:rsidP="005D196E">
      <w:pPr>
        <w:jc w:val="left"/>
        <w:rPr>
          <w:szCs w:val="21"/>
        </w:rPr>
      </w:pPr>
      <w:r w:rsidRPr="005D196E">
        <w:rPr>
          <w:noProof/>
          <w:szCs w:val="21"/>
        </w:rPr>
        <w:drawing>
          <wp:inline distT="0" distB="0" distL="0" distR="0" wp14:anchorId="2235C02C" wp14:editId="1CFC0155">
            <wp:extent cx="4031311" cy="628527"/>
            <wp:effectExtent l="0" t="0" r="0" b="635"/>
            <wp:docPr id="325037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376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0088" cy="63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2C49" w14:textId="29D0CEAF" w:rsidR="005D196E" w:rsidRPr="005D196E" w:rsidRDefault="002A2D6B" w:rsidP="005D196E">
      <w:pPr>
        <w:jc w:val="left"/>
        <w:rPr>
          <w:iCs/>
          <w:sz w:val="15"/>
          <w:szCs w:val="1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W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15"/>
              <w:szCs w:val="15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l</m:t>
                  </m:r>
                </m:sub>
              </m:sSub>
            </m:sup>
          </m:sSup>
          <m:r>
            <w:rPr>
              <w:rFonts w:ascii="Cambria Math" w:hAnsi="Cambria Math"/>
              <w:sz w:val="15"/>
              <w:szCs w:val="15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W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15"/>
              <w:szCs w:val="15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5"/>
                  <w:szCs w:val="15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K</m:t>
                  </m:r>
                  <m:ctrlPr>
                    <w:rPr>
                      <w:rFonts w:ascii="Cambria Math" w:hAnsi="Cambria Math"/>
                      <w:iCs/>
                      <w:sz w:val="15"/>
                      <w:szCs w:val="15"/>
                    </w:rPr>
                  </m:ctrlP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l</m:t>
                  </m:r>
                </m:sub>
              </m:sSub>
            </m:sup>
          </m:sSup>
          <m:r>
            <w:rPr>
              <w:rFonts w:ascii="Cambria Math" w:hAnsi="Cambria Math"/>
              <w:sz w:val="15"/>
              <w:szCs w:val="15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W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15"/>
              <w:szCs w:val="15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C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V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15"/>
              <w:szCs w:val="15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5"/>
                  <w:szCs w:val="15"/>
                </w:rPr>
                <m:t>×</m:t>
              </m:r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>是参数，上标</m:t>
          </m:r>
          <m:r>
            <w:rPr>
              <w:rFonts w:ascii="Cambria Math" w:hAnsi="Cambria Math"/>
              <w:sz w:val="15"/>
              <w:szCs w:val="15"/>
            </w:rPr>
            <m:t>T</m:t>
          </m:r>
          <m:d>
            <m:d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1,2</m:t>
              </m:r>
            </m:e>
          </m:d>
          <m:r>
            <w:rPr>
              <w:rFonts w:ascii="Cambria Math" w:hAnsi="Cambria Math"/>
              <w:sz w:val="15"/>
              <w:szCs w:val="15"/>
            </w:rPr>
            <m:t>表示前两个维度的转置，</m:t>
          </m:r>
          <m:sSub>
            <m:sSub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b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s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是</m:t>
          </m:r>
          <m:r>
            <w:rPr>
              <w:rFonts w:ascii="Cambria Math" w:hAnsi="Cambria Math"/>
              <w:sz w:val="15"/>
              <w:szCs w:val="15"/>
            </w:rPr>
            <m:t>bias</m:t>
          </m:r>
          <m:r>
            <w:rPr>
              <w:rFonts w:ascii="Cambria Math" w:hAnsi="Cambria Math"/>
              <w:sz w:val="15"/>
              <w:szCs w:val="15"/>
            </w:rPr>
            <m:t>向量。</m:t>
          </m:r>
        </m:oMath>
      </m:oMathPara>
    </w:p>
    <w:p w14:paraId="1BA7FF60" w14:textId="77777777" w:rsidR="005D196E" w:rsidRDefault="005D196E" w:rsidP="005D196E">
      <w:pPr>
        <w:jc w:val="left"/>
        <w:rPr>
          <w:i/>
          <w:sz w:val="15"/>
          <w:szCs w:val="15"/>
        </w:rPr>
      </w:pPr>
    </w:p>
    <w:p w14:paraId="53138BE3" w14:textId="54FD2A79" w:rsidR="005D196E" w:rsidRDefault="005D196E" w:rsidP="005D196E">
      <w:pPr>
        <w:jc w:val="left"/>
        <w:rPr>
          <w:iCs/>
          <w:sz w:val="24"/>
          <w:szCs w:val="24"/>
        </w:rPr>
      </w:pPr>
      <w:r w:rsidRPr="005D196E">
        <w:rPr>
          <w:rFonts w:hint="eastAsia"/>
          <w:iCs/>
          <w:sz w:val="24"/>
          <w:szCs w:val="24"/>
        </w:rPr>
        <w:t>接下来再把每个元素用</w:t>
      </w:r>
      <w:proofErr w:type="spellStart"/>
      <w:r w:rsidRPr="005D196E">
        <w:rPr>
          <w:iCs/>
          <w:sz w:val="24"/>
          <w:szCs w:val="24"/>
        </w:rPr>
        <w:t>softmax</w:t>
      </w:r>
      <w:proofErr w:type="spellEnd"/>
      <w:r w:rsidRPr="005D196E">
        <w:rPr>
          <w:rFonts w:hint="eastAsia"/>
          <w:iCs/>
          <w:sz w:val="24"/>
          <w:szCs w:val="24"/>
        </w:rPr>
        <w:t>归一化</w:t>
      </w:r>
      <w:r w:rsidRPr="005D196E">
        <w:rPr>
          <w:iCs/>
          <w:sz w:val="24"/>
          <w:szCs w:val="24"/>
        </w:rPr>
        <w:t>，用来代表股票</w:t>
      </w:r>
      <w:proofErr w:type="spellStart"/>
      <w:r w:rsidRPr="005D196E">
        <w:rPr>
          <w:iCs/>
          <w:sz w:val="24"/>
          <w:szCs w:val="24"/>
        </w:rPr>
        <w:t>i</w:t>
      </w:r>
      <w:proofErr w:type="spellEnd"/>
      <w:r w:rsidRPr="005D196E">
        <w:rPr>
          <w:iCs/>
          <w:sz w:val="24"/>
          <w:szCs w:val="24"/>
        </w:rPr>
        <w:t>和j的相关性</w:t>
      </w:r>
    </w:p>
    <w:p w14:paraId="146D3A86" w14:textId="3564C3EC" w:rsidR="005D196E" w:rsidRDefault="005D196E" w:rsidP="005D196E">
      <w:pPr>
        <w:jc w:val="left"/>
        <w:rPr>
          <w:iCs/>
          <w:sz w:val="24"/>
          <w:szCs w:val="24"/>
        </w:rPr>
      </w:pPr>
      <w:r w:rsidRPr="005D196E">
        <w:rPr>
          <w:iCs/>
          <w:noProof/>
          <w:sz w:val="24"/>
          <w:szCs w:val="24"/>
        </w:rPr>
        <w:drawing>
          <wp:inline distT="0" distB="0" distL="0" distR="0" wp14:anchorId="75BD0EA5" wp14:editId="30389E04">
            <wp:extent cx="1796995" cy="659488"/>
            <wp:effectExtent l="0" t="0" r="0" b="7620"/>
            <wp:docPr id="2042611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11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7554" cy="66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02F4" w14:textId="77777777" w:rsidR="005D196E" w:rsidRDefault="005D196E" w:rsidP="005D196E">
      <w:pPr>
        <w:jc w:val="left"/>
        <w:rPr>
          <w:iCs/>
          <w:sz w:val="24"/>
          <w:szCs w:val="24"/>
        </w:rPr>
      </w:pPr>
    </w:p>
    <w:p w14:paraId="3893E17A" w14:textId="77777777" w:rsidR="005D196E" w:rsidRDefault="005D196E" w:rsidP="005D196E">
      <w:pPr>
        <w:jc w:val="left"/>
        <w:rPr>
          <w:iCs/>
          <w:sz w:val="24"/>
          <w:szCs w:val="24"/>
        </w:rPr>
      </w:pPr>
    </w:p>
    <w:p w14:paraId="47115FB3" w14:textId="77777777" w:rsidR="005D196E" w:rsidRDefault="005D196E" w:rsidP="005D196E">
      <w:pPr>
        <w:jc w:val="left"/>
        <w:rPr>
          <w:iCs/>
          <w:sz w:val="18"/>
          <w:szCs w:val="18"/>
        </w:rPr>
      </w:pPr>
      <w:r w:rsidRPr="005D196E">
        <w:rPr>
          <w:rFonts w:hint="eastAsia"/>
          <w:iCs/>
          <w:sz w:val="18"/>
          <w:szCs w:val="18"/>
        </w:rPr>
        <w:t>图卷积层用来对</w:t>
      </w:r>
      <w:r w:rsidRPr="005D196E">
        <w:rPr>
          <w:rFonts w:hint="eastAsia"/>
          <w:b/>
          <w:bCs/>
          <w:iCs/>
          <w:sz w:val="18"/>
          <w:szCs w:val="18"/>
        </w:rPr>
        <w:t>股票间的长期空间关系</w:t>
      </w:r>
      <w:r w:rsidRPr="005D196E">
        <w:rPr>
          <w:rFonts w:hint="eastAsia"/>
          <w:iCs/>
          <w:sz w:val="18"/>
          <w:szCs w:val="18"/>
        </w:rPr>
        <w:t>进行建模。</w:t>
      </w:r>
    </w:p>
    <w:p w14:paraId="0E277C1E" w14:textId="77777777" w:rsidR="001045B7" w:rsidRPr="005D196E" w:rsidRDefault="001045B7" w:rsidP="005D196E">
      <w:pPr>
        <w:jc w:val="left"/>
        <w:rPr>
          <w:iCs/>
          <w:sz w:val="18"/>
          <w:szCs w:val="18"/>
        </w:rPr>
      </w:pPr>
    </w:p>
    <w:p w14:paraId="009135B7" w14:textId="77777777" w:rsidR="005D196E" w:rsidRPr="005D196E" w:rsidRDefault="005D196E" w:rsidP="005D196E">
      <w:pPr>
        <w:jc w:val="left"/>
        <w:rPr>
          <w:iCs/>
          <w:sz w:val="18"/>
          <w:szCs w:val="18"/>
        </w:rPr>
      </w:pPr>
      <w:r w:rsidRPr="005D196E">
        <w:rPr>
          <w:rFonts w:hint="eastAsia"/>
          <w:iCs/>
          <w:sz w:val="18"/>
          <w:szCs w:val="18"/>
        </w:rPr>
        <w:t>虽然个股的表现具有变化的波动性，但</w:t>
      </w:r>
      <w:r w:rsidRPr="005D196E">
        <w:rPr>
          <w:rFonts w:hint="eastAsia"/>
          <w:b/>
          <w:bCs/>
          <w:iCs/>
          <w:sz w:val="18"/>
          <w:szCs w:val="18"/>
        </w:rPr>
        <w:t>行业（industry）</w:t>
      </w:r>
      <w:r w:rsidRPr="005D196E">
        <w:rPr>
          <w:rFonts w:hint="eastAsia"/>
          <w:iCs/>
          <w:sz w:val="18"/>
          <w:szCs w:val="18"/>
        </w:rPr>
        <w:t>的整体表现通常更能反映未来的经济形势热点。这里用了图卷积网络GCN，通过消息传递来获取图中节点的依赖关系，将边和节点的信息集成到表示中。</w:t>
      </w:r>
    </w:p>
    <w:p w14:paraId="5DC65F3B" w14:textId="63D2029B" w:rsidR="005D196E" w:rsidRPr="005D196E" w:rsidRDefault="005D196E" w:rsidP="005D196E">
      <w:pPr>
        <w:jc w:val="left"/>
        <w:rPr>
          <w:iCs/>
          <w:sz w:val="18"/>
          <w:szCs w:val="18"/>
        </w:rPr>
      </w:pPr>
      <w:r w:rsidRPr="005D196E">
        <w:rPr>
          <w:rFonts w:hint="eastAsia"/>
          <w:iCs/>
          <w:sz w:val="18"/>
          <w:szCs w:val="18"/>
        </w:rPr>
        <w:t>这里关于股票的</w:t>
      </w:r>
      <w:proofErr w:type="gramStart"/>
      <w:r w:rsidRPr="005D196E">
        <w:rPr>
          <w:rFonts w:hint="eastAsia"/>
          <w:b/>
          <w:bCs/>
          <w:iCs/>
          <w:sz w:val="18"/>
          <w:szCs w:val="18"/>
        </w:rPr>
        <w:t>图结构</w:t>
      </w:r>
      <w:proofErr w:type="gramEnd"/>
      <w:r w:rsidRPr="005D196E">
        <w:rPr>
          <w:rFonts w:hint="eastAsia"/>
          <w:iCs/>
          <w:sz w:val="18"/>
          <w:szCs w:val="18"/>
        </w:rPr>
        <w:t>的构建，原作者实验了以下几种方式：</w:t>
      </w:r>
    </w:p>
    <w:p w14:paraId="1E404BA7" w14:textId="77777777" w:rsidR="005D196E" w:rsidRPr="005D196E" w:rsidRDefault="005D196E" w:rsidP="005D196E">
      <w:pPr>
        <w:numPr>
          <w:ilvl w:val="0"/>
          <w:numId w:val="1"/>
        </w:numPr>
        <w:jc w:val="left"/>
        <w:rPr>
          <w:iCs/>
          <w:sz w:val="18"/>
          <w:szCs w:val="18"/>
        </w:rPr>
      </w:pPr>
      <w:r w:rsidRPr="005D196E">
        <w:rPr>
          <w:rFonts w:hint="eastAsia"/>
          <w:iCs/>
          <w:sz w:val="18"/>
          <w:szCs w:val="18"/>
        </w:rPr>
        <w:t>股票行业分类</w:t>
      </w:r>
    </w:p>
    <w:p w14:paraId="23A31638" w14:textId="77777777" w:rsidR="005D196E" w:rsidRPr="005D196E" w:rsidRDefault="005D196E" w:rsidP="005D196E">
      <w:pPr>
        <w:numPr>
          <w:ilvl w:val="0"/>
          <w:numId w:val="1"/>
        </w:numPr>
        <w:jc w:val="left"/>
        <w:rPr>
          <w:iCs/>
          <w:sz w:val="18"/>
          <w:szCs w:val="18"/>
        </w:rPr>
      </w:pPr>
      <w:r w:rsidRPr="005D196E">
        <w:rPr>
          <w:rFonts w:hint="eastAsia"/>
          <w:iCs/>
          <w:sz w:val="18"/>
          <w:szCs w:val="18"/>
        </w:rPr>
        <w:t>股票收益的相关性</w:t>
      </w:r>
    </w:p>
    <w:p w14:paraId="42981FEF" w14:textId="77777777" w:rsidR="005D196E" w:rsidRPr="005D196E" w:rsidRDefault="005D196E" w:rsidP="005D196E">
      <w:pPr>
        <w:numPr>
          <w:ilvl w:val="0"/>
          <w:numId w:val="1"/>
        </w:numPr>
        <w:jc w:val="left"/>
        <w:rPr>
          <w:iCs/>
          <w:sz w:val="18"/>
          <w:szCs w:val="18"/>
        </w:rPr>
      </w:pPr>
      <w:r w:rsidRPr="005D196E">
        <w:rPr>
          <w:rFonts w:hint="eastAsia"/>
          <w:iCs/>
          <w:sz w:val="18"/>
          <w:szCs w:val="18"/>
        </w:rPr>
        <w:t>股票收益的偏相关性</w:t>
      </w:r>
    </w:p>
    <w:p w14:paraId="610DF980" w14:textId="77777777" w:rsidR="005D196E" w:rsidRDefault="005D196E" w:rsidP="005D196E">
      <w:pPr>
        <w:numPr>
          <w:ilvl w:val="0"/>
          <w:numId w:val="1"/>
        </w:numPr>
        <w:jc w:val="left"/>
        <w:rPr>
          <w:iCs/>
          <w:sz w:val="18"/>
          <w:szCs w:val="18"/>
        </w:rPr>
      </w:pPr>
      <w:r w:rsidRPr="005D196E">
        <w:rPr>
          <w:rFonts w:hint="eastAsia"/>
          <w:iCs/>
          <w:sz w:val="18"/>
          <w:szCs w:val="18"/>
        </w:rPr>
        <w:t>因果关系（通过PC算法识别股票之间的因果结构）</w:t>
      </w:r>
    </w:p>
    <w:p w14:paraId="36F0E5AF" w14:textId="198077C1" w:rsidR="001045B7" w:rsidRPr="001045B7" w:rsidRDefault="001045B7" w:rsidP="001045B7">
      <w:pPr>
        <w:jc w:val="left"/>
        <w:rPr>
          <w:iCs/>
          <w:sz w:val="18"/>
          <w:szCs w:val="18"/>
        </w:rPr>
      </w:pPr>
    </w:p>
    <w:p w14:paraId="6B3269AC" w14:textId="60EA630F" w:rsidR="005D196E" w:rsidRDefault="005D196E" w:rsidP="005D196E">
      <w:pPr>
        <w:jc w:val="left"/>
        <w:rPr>
          <w:iCs/>
          <w:sz w:val="24"/>
          <w:szCs w:val="24"/>
        </w:rPr>
      </w:pPr>
      <w:r w:rsidRPr="005D196E">
        <w:rPr>
          <w:rFonts w:hint="eastAsia"/>
          <w:iCs/>
          <w:sz w:val="24"/>
          <w:szCs w:val="24"/>
        </w:rPr>
        <w:t>仍然是用</w:t>
      </w:r>
      <w:r w:rsidRPr="005D196E">
        <w:rPr>
          <w:iCs/>
          <w:sz w:val="24"/>
          <w:szCs w:val="24"/>
        </w:rPr>
        <w:t>TCN的输出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l</m:t>
            </m:r>
          </m:sup>
        </m:sSup>
      </m:oMath>
      <w:r>
        <w:rPr>
          <w:rFonts w:hint="eastAsia"/>
          <w:iCs/>
          <w:sz w:val="24"/>
          <w:szCs w:val="24"/>
        </w:rPr>
        <w:t>作为输入</w:t>
      </w:r>
    </w:p>
    <w:p w14:paraId="2DAE07F7" w14:textId="77777777" w:rsidR="001045B7" w:rsidRDefault="001045B7" w:rsidP="005D196E">
      <w:pPr>
        <w:jc w:val="left"/>
        <w:rPr>
          <w:iCs/>
          <w:sz w:val="24"/>
          <w:szCs w:val="24"/>
        </w:rPr>
      </w:pPr>
    </w:p>
    <w:p w14:paraId="7438A214" w14:textId="77777777" w:rsidR="001045B7" w:rsidRDefault="001045B7" w:rsidP="005D196E">
      <w:pPr>
        <w:jc w:val="left"/>
        <w:rPr>
          <w:iCs/>
          <w:sz w:val="24"/>
          <w:szCs w:val="24"/>
        </w:rPr>
      </w:pPr>
    </w:p>
    <w:p w14:paraId="1E6B01D6" w14:textId="34631681" w:rsidR="001045B7" w:rsidRPr="001045B7" w:rsidRDefault="001045B7" w:rsidP="001045B7">
      <w:pPr>
        <w:jc w:val="left"/>
        <w:rPr>
          <w:iCs/>
          <w:szCs w:val="21"/>
        </w:rPr>
      </w:pPr>
      <w:r w:rsidRPr="001045B7">
        <w:rPr>
          <w:rFonts w:hint="eastAsia"/>
          <w:iCs/>
          <w:szCs w:val="21"/>
        </w:rPr>
        <w:t>(</w:t>
      </w:r>
      <w:r w:rsidRPr="001045B7">
        <w:rPr>
          <w:iCs/>
          <w:szCs w:val="21"/>
        </w:rPr>
        <w:t>2)</w:t>
      </w:r>
      <w:r w:rsidRPr="001045B7">
        <w:rPr>
          <w:rFonts w:hint="eastAsia"/>
          <w:iCs/>
          <w:szCs w:val="21"/>
        </w:rPr>
        <w:t>对于使用股票行业分类方式构建的图结构：</w:t>
      </w:r>
    </w:p>
    <w:p w14:paraId="0A323614" w14:textId="0E0FFB7D" w:rsidR="001045B7" w:rsidRPr="001045B7" w:rsidRDefault="001045B7" w:rsidP="001045B7">
      <w:pPr>
        <w:jc w:val="left"/>
        <w:rPr>
          <w:iCs/>
          <w:szCs w:val="21"/>
        </w:rPr>
      </w:pPr>
      <w:r w:rsidRPr="001045B7">
        <w:rPr>
          <w:rFonts w:hint="eastAsia"/>
          <w:iCs/>
          <w:szCs w:val="21"/>
        </w:rPr>
        <w:t>由于只使用行业分类信息可能会忽略某些依赖关系，为了避免这个问题，这里</w:t>
      </w:r>
      <w:r w:rsidRPr="001045B7">
        <w:rPr>
          <w:iCs/>
          <w:szCs w:val="21"/>
        </w:rPr>
        <w:t xml:space="preserve">GCN使用复杂一点的结构： </w:t>
      </w:r>
    </w:p>
    <w:p w14:paraId="43514DBF" w14:textId="282F81BD" w:rsidR="001045B7" w:rsidRDefault="001045B7" w:rsidP="001045B7">
      <w:pPr>
        <w:jc w:val="left"/>
        <w:rPr>
          <w:iCs/>
          <w:sz w:val="24"/>
          <w:szCs w:val="24"/>
        </w:rPr>
      </w:pPr>
      <w:r w:rsidRPr="001045B7">
        <w:rPr>
          <w:iCs/>
          <w:noProof/>
          <w:sz w:val="24"/>
          <w:szCs w:val="24"/>
        </w:rPr>
        <w:drawing>
          <wp:inline distT="0" distB="0" distL="0" distR="0" wp14:anchorId="41910959" wp14:editId="7462A743">
            <wp:extent cx="3363402" cy="828485"/>
            <wp:effectExtent l="0" t="0" r="0" b="0"/>
            <wp:docPr id="971640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402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6205" cy="83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9583" w14:textId="2F241FB2" w:rsidR="001045B7" w:rsidRPr="001045B7" w:rsidRDefault="001045B7" w:rsidP="001045B7">
      <w:pPr>
        <w:jc w:val="left"/>
        <w:rPr>
          <w:iCs/>
          <w:sz w:val="24"/>
          <w:szCs w:val="24"/>
        </w:rPr>
      </w:pPr>
      <w:r w:rsidRPr="001045B7">
        <w:rPr>
          <w:iCs/>
          <w:noProof/>
          <w:sz w:val="24"/>
          <w:szCs w:val="24"/>
        </w:rPr>
        <w:drawing>
          <wp:inline distT="0" distB="0" distL="0" distR="0" wp14:anchorId="17E0CDED" wp14:editId="06E67002">
            <wp:extent cx="4134678" cy="503270"/>
            <wp:effectExtent l="0" t="0" r="0" b="0"/>
            <wp:docPr id="1869761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616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3352" cy="52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8D0C" w14:textId="5AE0A974" w:rsidR="005D196E" w:rsidRDefault="005D196E" w:rsidP="005D196E">
      <w:pPr>
        <w:jc w:val="left"/>
        <w:rPr>
          <w:iCs/>
          <w:sz w:val="24"/>
          <w:szCs w:val="24"/>
        </w:rPr>
      </w:pPr>
    </w:p>
    <w:p w14:paraId="7A3D379C" w14:textId="0CF2DCC9" w:rsidR="001045B7" w:rsidRPr="001045B7" w:rsidRDefault="001045B7" w:rsidP="005D196E">
      <w:pPr>
        <w:jc w:val="left"/>
        <w:rPr>
          <w:iCs/>
          <w:sz w:val="24"/>
          <w:szCs w:val="24"/>
        </w:rPr>
      </w:pPr>
      <w:r w:rsidRPr="001045B7">
        <w:rPr>
          <w:rFonts w:hint="eastAsia"/>
          <w:iCs/>
          <w:sz w:val="24"/>
          <w:szCs w:val="24"/>
        </w:rPr>
        <w:t>对于上面说的用后三种方式（收益相关性、偏相关性和因果关系）构建的</w:t>
      </w:r>
      <w:proofErr w:type="gramStart"/>
      <w:r w:rsidRPr="001045B7">
        <w:rPr>
          <w:rFonts w:hint="eastAsia"/>
          <w:iCs/>
          <w:sz w:val="24"/>
          <w:szCs w:val="24"/>
        </w:rPr>
        <w:t>图结构</w:t>
      </w:r>
      <w:proofErr w:type="gramEnd"/>
      <w:r w:rsidRPr="001045B7">
        <w:rPr>
          <w:rFonts w:hint="eastAsia"/>
          <w:iCs/>
          <w:sz w:val="24"/>
          <w:szCs w:val="24"/>
        </w:rPr>
        <w:t>来说，使用</w:t>
      </w:r>
      <w:r w:rsidRPr="001045B7">
        <w:rPr>
          <w:iCs/>
          <w:noProof/>
          <w:sz w:val="24"/>
          <w:szCs w:val="24"/>
        </w:rPr>
        <w:drawing>
          <wp:inline distT="0" distB="0" distL="0" distR="0" wp14:anchorId="43D3AE61" wp14:editId="6E00A3A0">
            <wp:extent cx="4760588" cy="1192696"/>
            <wp:effectExtent l="0" t="0" r="2540" b="7620"/>
            <wp:docPr id="1317992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922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1634" cy="122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242E" w14:textId="5C4EA1F5" w:rsidR="001045B7" w:rsidRDefault="001045B7" w:rsidP="005D196E">
      <w:pPr>
        <w:jc w:val="left"/>
        <w:rPr>
          <w:iCs/>
          <w:sz w:val="24"/>
          <w:szCs w:val="24"/>
        </w:rPr>
      </w:pPr>
    </w:p>
    <w:p w14:paraId="6BF03F17" w14:textId="72E1900A" w:rsidR="005D196E" w:rsidRPr="001045B7" w:rsidRDefault="001045B7" w:rsidP="005D196E">
      <w:pPr>
        <w:jc w:val="left"/>
        <w:rPr>
          <w:rFonts w:ascii="MingLiU-ExtB" w:eastAsia="MingLiU-ExtB" w:hAnsi="MingLiU-ExtB"/>
          <w:iCs/>
          <w:sz w:val="24"/>
          <w:szCs w:val="24"/>
        </w:rPr>
      </w:pPr>
      <w:r w:rsidRPr="001045B7">
        <w:rPr>
          <w:rFonts w:ascii="宋体" w:eastAsia="宋体" w:hAnsi="宋体" w:cs="宋体" w:hint="eastAsia"/>
          <w:color w:val="121212"/>
          <w:sz w:val="27"/>
          <w:szCs w:val="27"/>
          <w:shd w:val="clear" w:color="auto" w:fill="FFFFFF"/>
        </w:rPr>
        <w:lastRenderedPageBreak/>
        <w:t>这样得到了股票长期相关性权重</w:t>
      </w:r>
      <w:r w:rsidRPr="001045B7">
        <w:rPr>
          <w:rFonts w:ascii="MingLiU-ExtB" w:eastAsia="MingLiU-ExtB" w:hAnsi="MingLiU-ExtB" w:hint="eastAsia"/>
          <w:color w:val="121212"/>
          <w:sz w:val="27"/>
          <w:szCs w:val="27"/>
          <w:shd w:val="clear" w:color="auto" w:fill="FFFFFF"/>
        </w:rPr>
        <w:t> </w:t>
      </w:r>
      <m:oMath>
        <m:sSup>
          <m:sSupPr>
            <m:ctrlPr>
              <w:rPr>
                <w:rFonts w:ascii="Cambria Math" w:eastAsia="MingLiU-ExtB" w:hAnsi="Cambria Math"/>
                <w:i/>
                <w:color w:val="121212"/>
                <w:sz w:val="27"/>
                <w:szCs w:val="27"/>
                <w:shd w:val="clear" w:color="auto" w:fill="FFFFFF"/>
              </w:rPr>
            </m:ctrlPr>
          </m:sSupPr>
          <m:e>
            <m:r>
              <w:rPr>
                <w:rFonts w:ascii="Cambria Math" w:eastAsia="MingLiU-ExtB" w:hAnsi="Cambria Math"/>
                <w:color w:val="121212"/>
                <w:sz w:val="27"/>
                <w:szCs w:val="27"/>
                <w:shd w:val="clear" w:color="auto" w:fill="FFFFFF"/>
              </w:rPr>
              <m:t>Z</m:t>
            </m:r>
          </m:e>
          <m:sup>
            <m:r>
              <w:rPr>
                <w:rFonts w:ascii="Cambria Math" w:eastAsia="MingLiU-ExtB" w:hAnsi="Cambria Math"/>
                <w:color w:val="121212"/>
                <w:sz w:val="27"/>
                <w:szCs w:val="27"/>
                <w:shd w:val="clear" w:color="auto" w:fill="FFFFFF"/>
              </w:rPr>
              <m:t>l</m:t>
            </m:r>
          </m:sup>
        </m:sSup>
      </m:oMath>
    </w:p>
    <w:p w14:paraId="40563AD5" w14:textId="236655D3" w:rsidR="001045B7" w:rsidRDefault="001045B7" w:rsidP="005D196E">
      <w:pPr>
        <w:jc w:val="left"/>
        <w:rPr>
          <w:iCs/>
          <w:sz w:val="24"/>
          <w:szCs w:val="24"/>
        </w:rPr>
      </w:pPr>
    </w:p>
    <w:p w14:paraId="551780A1" w14:textId="6F6C1495" w:rsidR="001045B7" w:rsidRDefault="001045B7" w:rsidP="005D196E">
      <w:pPr>
        <w:jc w:val="left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使用残差网络结构，</w:t>
      </w:r>
      <w:r w:rsidRPr="001045B7">
        <w:rPr>
          <w:rFonts w:hint="eastAsia"/>
          <w:iCs/>
          <w:sz w:val="24"/>
          <w:szCs w:val="24"/>
        </w:rPr>
        <w:t>第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proofErr w:type="gramStart"/>
      <w:r w:rsidRPr="001045B7">
        <w:rPr>
          <w:iCs/>
          <w:sz w:val="24"/>
          <w:szCs w:val="24"/>
        </w:rPr>
        <w:t>个</w:t>
      </w:r>
      <w:proofErr w:type="gramEnd"/>
      <w:r w:rsidRPr="001045B7">
        <w:rPr>
          <w:iCs/>
          <w:sz w:val="24"/>
          <w:szCs w:val="24"/>
        </w:rPr>
        <w:t>block的输出</w:t>
      </w:r>
      <w:r>
        <w:rPr>
          <w:rFonts w:hint="eastAsia"/>
          <w:iCs/>
          <w:sz w:val="24"/>
          <w:szCs w:val="24"/>
        </w:rPr>
        <w:t>为</w:t>
      </w:r>
    </w:p>
    <w:p w14:paraId="63411DAA" w14:textId="07FB83BB" w:rsidR="001045B7" w:rsidRDefault="001045B7" w:rsidP="005D196E">
      <w:pPr>
        <w:jc w:val="left"/>
        <w:rPr>
          <w:iCs/>
          <w:sz w:val="24"/>
          <w:szCs w:val="24"/>
        </w:rPr>
      </w:pPr>
      <w:r w:rsidRPr="001045B7">
        <w:rPr>
          <w:iCs/>
          <w:noProof/>
          <w:sz w:val="24"/>
          <w:szCs w:val="24"/>
        </w:rPr>
        <w:drawing>
          <wp:inline distT="0" distB="0" distL="0" distR="0" wp14:anchorId="56F94A1D" wp14:editId="349D28AE">
            <wp:extent cx="3496163" cy="733527"/>
            <wp:effectExtent l="0" t="0" r="9525" b="9525"/>
            <wp:docPr id="1117184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849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F7DF" w14:textId="229170D2" w:rsidR="001045B7" w:rsidRDefault="001045B7" w:rsidP="005D196E">
      <w:pPr>
        <w:jc w:val="left"/>
        <w:rPr>
          <w:iCs/>
          <w:sz w:val="24"/>
          <w:szCs w:val="24"/>
        </w:rPr>
      </w:pPr>
      <w:r w:rsidRPr="001045B7">
        <w:rPr>
          <w:iCs/>
          <w:noProof/>
          <w:sz w:val="24"/>
          <w:szCs w:val="24"/>
        </w:rPr>
        <w:drawing>
          <wp:inline distT="0" distB="0" distL="0" distR="0" wp14:anchorId="242932EF" wp14:editId="12861148">
            <wp:extent cx="193638" cy="182880"/>
            <wp:effectExtent l="0" t="0" r="0" b="7620"/>
            <wp:docPr id="196687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79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23" cy="18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iCs/>
          <w:sz w:val="24"/>
          <w:szCs w:val="24"/>
        </w:rPr>
        <w:t>为残差连接</w:t>
      </w:r>
    </w:p>
    <w:p w14:paraId="6D5E849E" w14:textId="77777777" w:rsidR="001045B7" w:rsidRDefault="001045B7" w:rsidP="005D196E">
      <w:pPr>
        <w:jc w:val="left"/>
        <w:rPr>
          <w:iCs/>
          <w:sz w:val="24"/>
          <w:szCs w:val="24"/>
        </w:rPr>
      </w:pPr>
    </w:p>
    <w:p w14:paraId="1D8413DA" w14:textId="74C99F18" w:rsidR="001045B7" w:rsidRDefault="001045B7" w:rsidP="001045B7">
      <w:pPr>
        <w:jc w:val="left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将这个</w:t>
      </w:r>
      <w:r w:rsidRPr="001045B7">
        <w:rPr>
          <w:iCs/>
          <w:sz w:val="24"/>
          <w:szCs w:val="24"/>
        </w:rPr>
        <w:t xml:space="preserve">block结构堆叠L次获得第L块的输出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L</m:t>
            </m:r>
          </m:sup>
        </m:sSup>
      </m:oMath>
      <w:r w:rsidRPr="001045B7">
        <w:rPr>
          <w:iCs/>
          <w:sz w:val="24"/>
          <w:szCs w:val="24"/>
        </w:rPr>
        <w:t>就是最后的股票的时空特征</w:t>
      </w:r>
    </w:p>
    <w:p w14:paraId="124CC94A" w14:textId="5BFDDC32" w:rsidR="001045B7" w:rsidRDefault="00FB093B" w:rsidP="005D196E">
      <w:pPr>
        <w:jc w:val="left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将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L</m:t>
            </m:r>
          </m:sup>
        </m:sSup>
      </m:oMath>
      <w:r>
        <w:rPr>
          <w:rFonts w:hint="eastAsia"/>
          <w:iCs/>
          <w:sz w:val="24"/>
          <w:szCs w:val="24"/>
        </w:rPr>
        <w:t>使用一个全连接层提取特征，</w:t>
      </w:r>
      <w:r w:rsidRPr="00FB093B">
        <w:rPr>
          <w:rFonts w:hint="eastAsia"/>
          <w:iCs/>
          <w:sz w:val="24"/>
          <w:szCs w:val="24"/>
        </w:rPr>
        <w:t>得到的最后股票的</w:t>
      </w:r>
      <w:proofErr w:type="gramStart"/>
      <w:r w:rsidRPr="00FB093B">
        <w:rPr>
          <w:rFonts w:hint="eastAsia"/>
          <w:iCs/>
          <w:sz w:val="24"/>
          <w:szCs w:val="24"/>
        </w:rPr>
        <w:t>涨跌潜力打分</w:t>
      </w:r>
      <w:proofErr w:type="gramEnd"/>
    </w:p>
    <w:p w14:paraId="3FCBB135" w14:textId="35B42E26" w:rsidR="00FB093B" w:rsidRPr="001045B7" w:rsidRDefault="00FB093B" w:rsidP="005D196E">
      <w:pPr>
        <w:jc w:val="left"/>
        <w:rPr>
          <w:iCs/>
          <w:sz w:val="24"/>
          <w:szCs w:val="24"/>
        </w:rPr>
      </w:pPr>
      <w:r w:rsidRPr="00FB093B">
        <w:rPr>
          <w:iCs/>
          <w:noProof/>
          <w:sz w:val="24"/>
          <w:szCs w:val="24"/>
        </w:rPr>
        <w:drawing>
          <wp:inline distT="0" distB="0" distL="0" distR="0" wp14:anchorId="5C5B3A00" wp14:editId="1A86F80B">
            <wp:extent cx="3291840" cy="516502"/>
            <wp:effectExtent l="0" t="0" r="3810" b="0"/>
            <wp:docPr id="1493706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061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2627" cy="51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8E26" w14:textId="77777777" w:rsidR="001045B7" w:rsidRPr="001045B7" w:rsidRDefault="001045B7" w:rsidP="005D196E">
      <w:pPr>
        <w:jc w:val="left"/>
        <w:rPr>
          <w:iCs/>
          <w:sz w:val="24"/>
          <w:szCs w:val="24"/>
        </w:rPr>
      </w:pPr>
    </w:p>
    <w:p w14:paraId="3F09D1D0" w14:textId="74C6DDD2" w:rsidR="005212EF" w:rsidRPr="005212EF" w:rsidRDefault="005212EF" w:rsidP="005212EF">
      <w:pPr>
        <w:rPr>
          <w:szCs w:val="21"/>
        </w:rPr>
      </w:pPr>
      <w:r w:rsidRPr="005212EF">
        <w:rPr>
          <w:szCs w:val="21"/>
        </w:rPr>
        <w:t>2 Market scoring unit</w:t>
      </w:r>
    </w:p>
    <w:p w14:paraId="567890B1" w14:textId="5CE0B819" w:rsidR="005212EF" w:rsidRDefault="005212EF" w:rsidP="005212EF">
      <w:pPr>
        <w:rPr>
          <w:szCs w:val="21"/>
        </w:rPr>
      </w:pPr>
      <w:r w:rsidRPr="005212EF">
        <w:rPr>
          <w:rFonts w:hint="eastAsia"/>
          <w:szCs w:val="21"/>
        </w:rPr>
        <w:t>金融数据包含大量不可预测的不确定性。根据历史观察来准确判断</w:t>
      </w:r>
      <w:r>
        <w:rPr>
          <w:rFonts w:hint="eastAsia"/>
          <w:szCs w:val="21"/>
        </w:rPr>
        <w:t>中</w:t>
      </w:r>
      <w:proofErr w:type="gramStart"/>
      <w:r>
        <w:rPr>
          <w:rFonts w:hint="eastAsia"/>
          <w:szCs w:val="21"/>
        </w:rPr>
        <w:t>特估</w:t>
      </w:r>
      <w:r w:rsidRPr="005212EF">
        <w:rPr>
          <w:rFonts w:hint="eastAsia"/>
          <w:szCs w:val="21"/>
        </w:rPr>
        <w:t>股票</w:t>
      </w:r>
      <w:proofErr w:type="gramEnd"/>
      <w:r w:rsidRPr="005212EF">
        <w:rPr>
          <w:rFonts w:hint="eastAsia"/>
          <w:szCs w:val="21"/>
        </w:rPr>
        <w:t>的涨跌是不可行的。在以往</w:t>
      </w:r>
      <w:r>
        <w:rPr>
          <w:rFonts w:hint="eastAsia"/>
          <w:szCs w:val="21"/>
        </w:rPr>
        <w:t>的</w:t>
      </w:r>
      <w:r w:rsidRPr="005212EF">
        <w:rPr>
          <w:szCs w:val="21"/>
        </w:rPr>
        <w:t>投资模型中，投资策略仅仅是基于对每</w:t>
      </w:r>
      <w:r>
        <w:rPr>
          <w:rFonts w:hint="eastAsia"/>
          <w:szCs w:val="21"/>
        </w:rPr>
        <w:t>支</w:t>
      </w:r>
      <w:r w:rsidRPr="005212EF">
        <w:rPr>
          <w:szCs w:val="21"/>
        </w:rPr>
        <w:t>股票的分析，而忽略了市场的变化。而顺应市场是一个更好的投资策略。当股市下跌时，有经验的投资者倾向于在卖空上花更多的钱。为了平衡收益和风险，本文提出了</w:t>
      </w:r>
      <w:r w:rsidR="009D0317">
        <w:rPr>
          <w:rFonts w:hint="eastAsia"/>
          <w:szCs w:val="21"/>
        </w:rPr>
        <w:t>市场</w:t>
      </w:r>
      <w:r w:rsidRPr="005212EF">
        <w:rPr>
          <w:szCs w:val="21"/>
        </w:rPr>
        <w:t>评分单元。以</w:t>
      </w:r>
      <w:r>
        <w:rPr>
          <w:rFonts w:hint="eastAsia"/>
          <w:szCs w:val="21"/>
        </w:rPr>
        <w:t>中</w:t>
      </w:r>
      <w:proofErr w:type="gramStart"/>
      <w:r>
        <w:rPr>
          <w:rFonts w:hint="eastAsia"/>
          <w:szCs w:val="21"/>
        </w:rPr>
        <w:t>特估</w:t>
      </w:r>
      <w:r w:rsidR="009D0317">
        <w:rPr>
          <w:rFonts w:hint="eastAsia"/>
          <w:szCs w:val="21"/>
        </w:rPr>
        <w:t>特征</w:t>
      </w:r>
      <w:proofErr w:type="gramEnd"/>
      <w:r>
        <w:rPr>
          <w:rFonts w:hint="eastAsia"/>
          <w:szCs w:val="21"/>
        </w:rPr>
        <w:t>指标</w:t>
      </w:r>
      <w:r w:rsidRPr="005212EF">
        <w:rPr>
          <w:szCs w:val="21"/>
        </w:rPr>
        <w:t>为输入，动态调整做空资金的占比。</w:t>
      </w:r>
    </w:p>
    <w:p w14:paraId="0EC704BD" w14:textId="08288F71" w:rsidR="009D0317" w:rsidRDefault="009D0317" w:rsidP="005212EF">
      <w:pPr>
        <w:rPr>
          <w:szCs w:val="21"/>
        </w:rPr>
      </w:pPr>
      <w:r w:rsidRPr="009D0317">
        <w:rPr>
          <w:noProof/>
          <w:szCs w:val="21"/>
        </w:rPr>
        <w:drawing>
          <wp:inline distT="0" distB="0" distL="0" distR="0" wp14:anchorId="17138DF6" wp14:editId="396E1A83">
            <wp:extent cx="2735885" cy="2683126"/>
            <wp:effectExtent l="0" t="0" r="7620" b="3175"/>
            <wp:docPr id="803824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249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9035" cy="268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33CD" w14:textId="77777777" w:rsidR="009D0317" w:rsidRDefault="009D0317" w:rsidP="005212EF">
      <w:pPr>
        <w:rPr>
          <w:szCs w:val="21"/>
        </w:rPr>
      </w:pPr>
    </w:p>
    <w:p w14:paraId="0DC512AA" w14:textId="77777777" w:rsidR="009D0317" w:rsidRDefault="009D0317" w:rsidP="005212EF">
      <w:pPr>
        <w:rPr>
          <w:szCs w:val="21"/>
        </w:rPr>
      </w:pPr>
    </w:p>
    <w:p w14:paraId="5E87ABE4" w14:textId="186AD554" w:rsidR="009D0317" w:rsidRDefault="009D0317" w:rsidP="005212EF">
      <w:pPr>
        <w:rPr>
          <w:szCs w:val="21"/>
        </w:rPr>
      </w:pPr>
      <w:r w:rsidRPr="009D0317">
        <w:rPr>
          <w:rFonts w:hint="eastAsia"/>
          <w:szCs w:val="21"/>
        </w:rPr>
        <w:t>使用</w:t>
      </w:r>
      <w:r w:rsidRPr="009D0317">
        <w:rPr>
          <w:szCs w:val="21"/>
        </w:rPr>
        <w:t xml:space="preserve"> LSTM + attention 来提取输入数据的序列化表示。计算过程如下：</w:t>
      </w:r>
    </w:p>
    <w:p w14:paraId="5BE58C6E" w14:textId="2286D0E3" w:rsidR="009D0317" w:rsidRPr="009D0317" w:rsidRDefault="002A2D6B" w:rsidP="009D0317">
      <w:pPr>
        <w:jc w:val="center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k</m:t>
              </m:r>
            </m:sub>
          </m:sSub>
          <m:r>
            <w:rPr>
              <w:rFonts w:ascii="Cambria Math" w:hAnsi="Cambria Math"/>
              <w:szCs w:val="21"/>
            </w:rPr>
            <m:t>=LSTM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szCs w:val="21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  <m:sup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m</m:t>
                  </m:r>
                </m:sup>
              </m:sSubSup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</m:oMath>
      </m:oMathPara>
    </w:p>
    <w:p w14:paraId="3E534BBB" w14:textId="22B254FB" w:rsidR="009D0317" w:rsidRDefault="002A2D6B" w:rsidP="009D0317">
      <w:pPr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nor/>
              </m:rPr>
              <w:rPr>
                <w:rFonts w:ascii="Cambria Math" w:hAnsi="Cambria Math"/>
                <w:szCs w:val="21"/>
              </w:rPr>
              <m:t>k</m:t>
            </m:r>
          </m:sub>
        </m:sSub>
      </m:oMath>
      <w:r w:rsidR="00C46633">
        <w:rPr>
          <w:rFonts w:hint="eastAsia"/>
          <w:szCs w:val="21"/>
        </w:rPr>
        <w:t>为第k步的状态编码。</w:t>
      </w:r>
    </w:p>
    <w:p w14:paraId="0B852D52" w14:textId="77777777" w:rsidR="00C46633" w:rsidRDefault="00C46633" w:rsidP="009D0317">
      <w:pPr>
        <w:rPr>
          <w:szCs w:val="21"/>
        </w:rPr>
      </w:pPr>
    </w:p>
    <w:p w14:paraId="1B932895" w14:textId="77777777" w:rsidR="00C46633" w:rsidRDefault="00C46633" w:rsidP="009D0317">
      <w:pPr>
        <w:rPr>
          <w:szCs w:val="21"/>
        </w:rPr>
      </w:pPr>
    </w:p>
    <w:p w14:paraId="4E41B03D" w14:textId="022753C4" w:rsidR="00C46633" w:rsidRDefault="00C46633" w:rsidP="009D0317">
      <w:pPr>
        <w:rPr>
          <w:szCs w:val="21"/>
        </w:rPr>
      </w:pPr>
      <w:r>
        <w:rPr>
          <w:rFonts w:hint="eastAsia"/>
          <w:szCs w:val="21"/>
        </w:rPr>
        <w:t>然后使用attention加权捕获信息关系</w:t>
      </w:r>
    </w:p>
    <w:p w14:paraId="7325E68C" w14:textId="6D75211E" w:rsidR="00C46633" w:rsidRDefault="00C46633" w:rsidP="00C46633">
      <w:pPr>
        <w:jc w:val="center"/>
        <w:rPr>
          <w:szCs w:val="21"/>
        </w:rPr>
      </w:pPr>
      <w:r w:rsidRPr="00C46633">
        <w:rPr>
          <w:noProof/>
          <w:szCs w:val="21"/>
        </w:rPr>
        <w:drawing>
          <wp:inline distT="0" distB="0" distL="0" distR="0" wp14:anchorId="41847FEC" wp14:editId="50FA13FD">
            <wp:extent cx="2210463" cy="728925"/>
            <wp:effectExtent l="0" t="0" r="0" b="0"/>
            <wp:docPr id="1538884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848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0636" cy="7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44E9" w14:textId="477C4FDA" w:rsidR="00C46633" w:rsidRDefault="0011692D" w:rsidP="009D0317">
      <w:pPr>
        <w:rPr>
          <w:szCs w:val="21"/>
        </w:rPr>
      </w:pPr>
      <w:r>
        <w:rPr>
          <w:rFonts w:hint="eastAsia"/>
          <w:szCs w:val="21"/>
        </w:rPr>
        <w:t>再次</w:t>
      </w:r>
      <w:r w:rsidR="00C46633">
        <w:rPr>
          <w:rFonts w:hint="eastAsia"/>
          <w:szCs w:val="21"/>
        </w:rPr>
        <w:t>计算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nor/>
              </m:rPr>
              <w:rPr>
                <w:rFonts w:ascii="Cambria Math" w:hAnsi="Cambria Math"/>
                <w:szCs w:val="21"/>
              </w:rPr>
              <m:t>k</m:t>
            </m:r>
          </m:sub>
        </m:sSub>
      </m:oMath>
      <w:r w:rsidR="00C46633">
        <w:rPr>
          <w:rFonts w:hint="eastAsia"/>
          <w:szCs w:val="21"/>
        </w:rPr>
        <w:t>记为</w:t>
      </w:r>
      <m:oMath>
        <m:acc>
          <m:accPr>
            <m:ctrlPr>
              <w:rPr>
                <w:rFonts w:ascii="Cambria Math" w:hAnsi="Cambria Math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acc>
      </m:oMath>
    </w:p>
    <w:p w14:paraId="503E50AA" w14:textId="12259463" w:rsidR="0011692D" w:rsidRPr="0011692D" w:rsidRDefault="002A2D6B" w:rsidP="009D0317">
      <w:pPr>
        <w:rPr>
          <w:szCs w:val="21"/>
        </w:rPr>
      </w:pPr>
      <m:oMathPara>
        <m:oMath>
          <m:acc>
            <m:accPr>
              <m:ctrlPr>
                <w:rPr>
                  <w:rFonts w:ascii="Cambria Math" w:hAnsi="Cambria Math"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k=1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w:rPr>
                  <w:rFonts w:ascii="Cambria Math" w:hAnsi="Cambria Math"/>
                  <w:szCs w:val="21"/>
                </w:rPr>
                <m:t>K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Cs w:val="21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  <m:ctrlPr>
                <w:rPr>
                  <w:rFonts w:ascii="Cambria Math" w:hAnsi="Cambria Math"/>
                  <w:szCs w:val="21"/>
                </w:rPr>
              </m:ctrlPr>
            </m:e>
            <m:sub>
              <m:r>
                <w:rPr>
                  <w:rFonts w:ascii="Cambria Math" w:hAnsi="Cambria Math"/>
                  <w:szCs w:val="21"/>
                </w:rPr>
                <m:t>k</m:t>
              </m:r>
            </m:sub>
          </m:sSub>
        </m:oMath>
      </m:oMathPara>
    </w:p>
    <w:p w14:paraId="2C9DD3D4" w14:textId="77777777" w:rsidR="0011692D" w:rsidRPr="0011692D" w:rsidRDefault="0011692D" w:rsidP="009D0317">
      <w:pPr>
        <w:rPr>
          <w:szCs w:val="21"/>
        </w:rPr>
      </w:pPr>
    </w:p>
    <w:p w14:paraId="5DDF8DE7" w14:textId="77777777" w:rsidR="0011692D" w:rsidRDefault="0011692D" w:rsidP="009D0317">
      <w:pPr>
        <w:rPr>
          <w:szCs w:val="21"/>
        </w:rPr>
      </w:pPr>
    </w:p>
    <w:p w14:paraId="7C688050" w14:textId="77777777" w:rsidR="0011692D" w:rsidRDefault="0011692D" w:rsidP="009D0317">
      <w:pPr>
        <w:rPr>
          <w:szCs w:val="21"/>
        </w:rPr>
      </w:pPr>
    </w:p>
    <w:p w14:paraId="7C0659BA" w14:textId="528B8143" w:rsidR="0011692D" w:rsidRDefault="0011692D" w:rsidP="009D0317">
      <w:pPr>
        <w:rPr>
          <w:szCs w:val="21"/>
        </w:rPr>
      </w:pPr>
      <w:r w:rsidRPr="0011692D">
        <w:rPr>
          <w:rFonts w:hint="eastAsia"/>
          <w:szCs w:val="21"/>
        </w:rPr>
        <w:t>计算出正态分布的均值和方差</w:t>
      </w:r>
    </w:p>
    <w:p w14:paraId="74E07238" w14:textId="1971A690" w:rsidR="0011692D" w:rsidRPr="0011692D" w:rsidRDefault="0011692D" w:rsidP="009D0317">
      <w:pPr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μ</m:t>
          </m:r>
          <m:r>
            <w:rPr>
              <w:rFonts w:ascii="Cambria Math" w:hAnsi="Cambria Math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/>
              <w:szCs w:val="21"/>
            </w:rPr>
            <m:t>σ</m:t>
          </m:r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⋅</m:t>
          </m:r>
          <m:acc>
            <m:accPr>
              <m:ctrlPr>
                <w:rPr>
                  <w:rFonts w:ascii="Cambria Math" w:hAnsi="Cambria Math"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m</m:t>
              </m:r>
            </m:sub>
          </m:sSub>
        </m:oMath>
      </m:oMathPara>
    </w:p>
    <w:p w14:paraId="6052AB73" w14:textId="77777777" w:rsidR="0011692D" w:rsidRPr="0011692D" w:rsidRDefault="0011692D" w:rsidP="009D0317">
      <w:pPr>
        <w:rPr>
          <w:szCs w:val="21"/>
        </w:rPr>
      </w:pPr>
    </w:p>
    <w:p w14:paraId="429AD12A" w14:textId="77777777" w:rsidR="0011692D" w:rsidRDefault="0011692D" w:rsidP="009D0317">
      <w:pPr>
        <w:rPr>
          <w:szCs w:val="21"/>
        </w:rPr>
      </w:pPr>
    </w:p>
    <w:p w14:paraId="12917F5B" w14:textId="77777777" w:rsidR="0011692D" w:rsidRDefault="0011692D" w:rsidP="009D0317">
      <w:pPr>
        <w:rPr>
          <w:szCs w:val="21"/>
        </w:rPr>
      </w:pPr>
    </w:p>
    <w:p w14:paraId="1DC3BF71" w14:textId="77777777" w:rsidR="0011692D" w:rsidRPr="0011692D" w:rsidRDefault="0011692D" w:rsidP="009D0317">
      <w:pPr>
        <w:rPr>
          <w:szCs w:val="21"/>
        </w:rPr>
      </w:pPr>
    </w:p>
    <w:p w14:paraId="23C603F1" w14:textId="6296341C" w:rsidR="00C46633" w:rsidRPr="0011692D" w:rsidRDefault="0011692D" w:rsidP="009D0317">
      <w:pPr>
        <w:rPr>
          <w:szCs w:val="21"/>
        </w:rPr>
      </w:pPr>
      <w:r w:rsidRPr="0011692D">
        <w:rPr>
          <w:szCs w:val="21"/>
        </w:rPr>
        <w:t>3</w:t>
      </w:r>
      <w:r>
        <w:rPr>
          <w:szCs w:val="21"/>
        </w:rPr>
        <w:t>.</w:t>
      </w:r>
      <w:r w:rsidRPr="0011692D">
        <w:rPr>
          <w:szCs w:val="21"/>
        </w:rPr>
        <w:t>Portfolio generator</w:t>
      </w:r>
    </w:p>
    <w:p w14:paraId="59778C33" w14:textId="512848E6" w:rsidR="00C46633" w:rsidRPr="009D0317" w:rsidRDefault="0011692D" w:rsidP="009D0317">
      <w:pPr>
        <w:rPr>
          <w:szCs w:val="21"/>
        </w:rPr>
      </w:pPr>
      <w:r>
        <w:rPr>
          <w:rFonts w:hint="eastAsia"/>
          <w:szCs w:val="21"/>
        </w:rPr>
        <w:t>该模块</w:t>
      </w:r>
      <w:r w:rsidRPr="0011692D">
        <w:rPr>
          <w:rFonts w:hint="eastAsia"/>
          <w:szCs w:val="21"/>
        </w:rPr>
        <w:t>选取前</w:t>
      </w:r>
      <w:r w:rsidRPr="0011692D">
        <w:rPr>
          <w:szCs w:val="21"/>
        </w:rPr>
        <w:t xml:space="preserve"> G 只股票做多，后 G 只股票做空，分配股票占比计算如下：</w:t>
      </w:r>
    </w:p>
    <w:bookmarkStart w:id="3" w:name="MTBlankEqn"/>
    <w:p w14:paraId="3CC9BDE5" w14:textId="2E1ACB1B" w:rsidR="009D0317" w:rsidRPr="009D0317" w:rsidRDefault="0011692D" w:rsidP="0011692D">
      <w:pPr>
        <w:rPr>
          <w:szCs w:val="21"/>
        </w:rPr>
      </w:pPr>
      <w:r w:rsidRPr="00025957">
        <w:rPr>
          <w:position w:val="-4"/>
        </w:rPr>
        <w:object w:dxaOrig="180" w:dyaOrig="279" w14:anchorId="5650D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4pt" o:ole="">
            <v:imagedata r:id="rId20" o:title=""/>
          </v:shape>
          <o:OLEObject Type="Embed" ProgID="Equation.DSMT4" ShapeID="_x0000_i1025" DrawAspect="Content" ObjectID="_1760901724" r:id="rId21"/>
        </w:object>
      </w:r>
      <w:bookmarkEnd w:id="3"/>
      <m:oMath>
        <m:r>
          <w:rPr>
            <w:rFonts w:ascii="Cambria Math" w:hAnsi="Cambria Math"/>
            <w:i/>
            <w:noProof/>
          </w:rPr>
          <w:drawing>
            <wp:inline distT="0" distB="0" distL="0" distR="0" wp14:anchorId="0BACDA54" wp14:editId="62F9DB7C">
              <wp:extent cx="3673503" cy="902675"/>
              <wp:effectExtent l="0" t="0" r="3175" b="0"/>
              <wp:docPr id="539151738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39151738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8483" cy="90881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p w14:paraId="382DC795" w14:textId="77777777" w:rsidR="009D0317" w:rsidRDefault="009D0317" w:rsidP="005212EF">
      <w:pPr>
        <w:rPr>
          <w:szCs w:val="21"/>
        </w:rPr>
      </w:pPr>
    </w:p>
    <w:p w14:paraId="14C3BC4B" w14:textId="43B5613D" w:rsidR="00FB093B" w:rsidRDefault="00FB093B" w:rsidP="005212EF">
      <w:pPr>
        <w:rPr>
          <w:szCs w:val="21"/>
        </w:rPr>
      </w:pPr>
      <w:r w:rsidRPr="00FB093B">
        <w:rPr>
          <w:szCs w:val="21"/>
        </w:rPr>
        <w:t>4. Optimization via RL</w:t>
      </w:r>
    </w:p>
    <w:p w14:paraId="7E797381" w14:textId="7EF39EB7" w:rsidR="00FB093B" w:rsidRDefault="00FB093B" w:rsidP="00FB093B">
      <w:pPr>
        <w:rPr>
          <w:szCs w:val="21"/>
        </w:rPr>
      </w:pPr>
      <w:r w:rsidRPr="00FB093B">
        <w:rPr>
          <w:rFonts w:hint="eastAsia"/>
          <w:szCs w:val="21"/>
        </w:rPr>
        <w:t>以上过程用</w:t>
      </w:r>
      <w:r w:rsidRPr="00FB093B">
        <w:rPr>
          <w:szCs w:val="21"/>
        </w:rPr>
        <w:t>RL来优化，策略</w:t>
      </w:r>
      <m:oMath>
        <m:r>
          <w:rPr>
            <w:rFonts w:ascii="Cambria Math" w:hAnsi="Cambria Math"/>
            <w:szCs w:val="21"/>
          </w:rPr>
          <m:t>π</m:t>
        </m:r>
      </m:oMath>
      <w:r w:rsidRPr="00FB093B">
        <w:rPr>
          <w:szCs w:val="21"/>
        </w:rPr>
        <w:t>由选</w:t>
      </w:r>
      <w:proofErr w:type="gramStart"/>
      <w:r w:rsidRPr="00FB093B">
        <w:rPr>
          <w:szCs w:val="21"/>
        </w:rPr>
        <w:t>股分</w:t>
      </w:r>
      <w:proofErr w:type="gramEnd"/>
      <w:r w:rsidRPr="00FB093B">
        <w:rPr>
          <w:szCs w:val="21"/>
        </w:rPr>
        <w:t>配组合权重和空仓比例两部分组成。</w:t>
      </w:r>
    </w:p>
    <w:p w14:paraId="62A62283" w14:textId="77777777" w:rsidR="00FB093B" w:rsidRDefault="00FB093B" w:rsidP="00FB093B">
      <w:pPr>
        <w:rPr>
          <w:szCs w:val="21"/>
        </w:rPr>
      </w:pPr>
    </w:p>
    <w:p w14:paraId="1997B3EE" w14:textId="64017138" w:rsidR="00FB093B" w:rsidRDefault="00FB093B" w:rsidP="00FB093B">
      <w:pPr>
        <w:rPr>
          <w:szCs w:val="21"/>
        </w:rPr>
      </w:pPr>
      <w:r w:rsidRPr="00FB093B">
        <w:rPr>
          <w:rFonts w:hint="eastAsia"/>
          <w:szCs w:val="21"/>
        </w:rPr>
        <w:t>选</w:t>
      </w:r>
      <w:proofErr w:type="gramStart"/>
      <w:r w:rsidRPr="00FB093B">
        <w:rPr>
          <w:rFonts w:hint="eastAsia"/>
          <w:szCs w:val="21"/>
        </w:rPr>
        <w:t>股分</w:t>
      </w:r>
      <w:proofErr w:type="gramEnd"/>
      <w:r w:rsidRPr="00FB093B">
        <w:rPr>
          <w:rFonts w:hint="eastAsia"/>
          <w:szCs w:val="21"/>
        </w:rPr>
        <w:t>配组合权重：</w:t>
      </w:r>
    </w:p>
    <w:p w14:paraId="7E0C960D" w14:textId="755F76FE" w:rsidR="00FB093B" w:rsidRDefault="00FB093B" w:rsidP="00FB093B">
      <w:pPr>
        <w:rPr>
          <w:szCs w:val="21"/>
        </w:rPr>
      </w:pPr>
      <w:r w:rsidRPr="00FB093B">
        <w:rPr>
          <w:noProof/>
          <w:szCs w:val="21"/>
        </w:rPr>
        <w:drawing>
          <wp:inline distT="0" distB="0" distL="0" distR="0" wp14:anchorId="6A64D7B2" wp14:editId="7C36DFA8">
            <wp:extent cx="2854518" cy="553299"/>
            <wp:effectExtent l="0" t="0" r="3175" b="0"/>
            <wp:docPr id="819561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617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9635" cy="55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3359" w14:textId="77777777" w:rsidR="00FB093B" w:rsidRDefault="00FB093B" w:rsidP="00FB093B">
      <w:pPr>
        <w:rPr>
          <w:szCs w:val="21"/>
        </w:rPr>
      </w:pPr>
    </w:p>
    <w:p w14:paraId="2C2701AF" w14:textId="77777777" w:rsidR="00FB093B" w:rsidRDefault="00FB093B" w:rsidP="00FB093B">
      <w:pPr>
        <w:rPr>
          <w:szCs w:val="21"/>
        </w:rPr>
      </w:pPr>
    </w:p>
    <w:p w14:paraId="77B7641F" w14:textId="77777777" w:rsidR="00FB093B" w:rsidRDefault="00FB093B" w:rsidP="00FB093B">
      <w:pPr>
        <w:rPr>
          <w:szCs w:val="21"/>
        </w:rPr>
      </w:pPr>
    </w:p>
    <w:p w14:paraId="0C19BB89" w14:textId="77777777" w:rsidR="00FB093B" w:rsidRDefault="00FB093B" w:rsidP="00FB093B">
      <w:pPr>
        <w:rPr>
          <w:szCs w:val="21"/>
        </w:rPr>
      </w:pPr>
    </w:p>
    <w:p w14:paraId="6B5E0B56" w14:textId="77777777" w:rsidR="00FB093B" w:rsidRDefault="00FB093B" w:rsidP="00FB093B">
      <w:pPr>
        <w:rPr>
          <w:szCs w:val="21"/>
        </w:rPr>
      </w:pPr>
    </w:p>
    <w:p w14:paraId="0D4BE045" w14:textId="6335023E" w:rsidR="00FB093B" w:rsidRDefault="00FB093B" w:rsidP="00FB093B">
      <w:pPr>
        <w:rPr>
          <w:szCs w:val="21"/>
        </w:rPr>
      </w:pPr>
      <w:r w:rsidRPr="00FB093B">
        <w:rPr>
          <w:szCs w:val="21"/>
        </w:rPr>
        <w:lastRenderedPageBreak/>
        <w:t>return rate</w:t>
      </w:r>
      <w:r>
        <w:rPr>
          <w:rFonts w:hint="eastAsia"/>
          <w:szCs w:val="21"/>
        </w:rPr>
        <w:t>：</w:t>
      </w:r>
    </w:p>
    <w:p w14:paraId="456D4FB8" w14:textId="28F560FD" w:rsidR="00FB093B" w:rsidRDefault="00FB093B" w:rsidP="00FB093B">
      <w:pPr>
        <w:rPr>
          <w:szCs w:val="21"/>
        </w:rPr>
      </w:pPr>
      <w:r w:rsidRPr="00FB093B">
        <w:rPr>
          <w:noProof/>
          <w:szCs w:val="21"/>
        </w:rPr>
        <w:drawing>
          <wp:inline distT="0" distB="0" distL="0" distR="0" wp14:anchorId="68969FA0" wp14:editId="266BA89B">
            <wp:extent cx="1979875" cy="700780"/>
            <wp:effectExtent l="0" t="0" r="1905" b="4445"/>
            <wp:docPr id="2009524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249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7745" cy="70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0891" w14:textId="77777777" w:rsidR="00FB093B" w:rsidRDefault="00FB093B" w:rsidP="00FB093B">
      <w:pPr>
        <w:rPr>
          <w:szCs w:val="21"/>
        </w:rPr>
      </w:pPr>
    </w:p>
    <w:p w14:paraId="13961F49" w14:textId="2E4328F5" w:rsidR="00FB093B" w:rsidRDefault="00FB093B" w:rsidP="00FB093B">
      <w:pPr>
        <w:rPr>
          <w:szCs w:val="21"/>
        </w:rPr>
      </w:pPr>
      <w:r w:rsidRPr="00FB093B">
        <w:rPr>
          <w:rFonts w:hint="eastAsia"/>
          <w:szCs w:val="21"/>
        </w:rPr>
        <w:t>初始投资金额是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Pr="00FB093B">
        <w:rPr>
          <w:szCs w:val="21"/>
        </w:rPr>
        <w:t xml:space="preserve"> ，一个轨迹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τ</m:t>
            </m:r>
          </m:e>
        </m:d>
      </m:oMath>
      <w:r w:rsidRPr="00FB093B">
        <w:rPr>
          <w:szCs w:val="21"/>
        </w:rPr>
        <w:t>的累积金额</w:t>
      </w:r>
      <w:r>
        <w:rPr>
          <w:rFonts w:hint="eastAsia"/>
          <w:szCs w:val="21"/>
        </w:rPr>
        <w:t>：</w:t>
      </w:r>
    </w:p>
    <w:p w14:paraId="1763988D" w14:textId="14FEC4E6" w:rsidR="00FB093B" w:rsidRPr="00FB093B" w:rsidRDefault="00FB093B" w:rsidP="00FB093B">
      <w:pPr>
        <w:rPr>
          <w:szCs w:val="21"/>
        </w:rPr>
      </w:pPr>
      <w:r w:rsidRPr="00FB093B">
        <w:rPr>
          <w:noProof/>
          <w:szCs w:val="21"/>
        </w:rPr>
        <w:drawing>
          <wp:inline distT="0" distB="0" distL="0" distR="0" wp14:anchorId="0CD47A02" wp14:editId="56DA7B63">
            <wp:extent cx="2759102" cy="595270"/>
            <wp:effectExtent l="0" t="0" r="3175" b="0"/>
            <wp:docPr id="985708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082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4875" cy="60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381B" w14:textId="64AB6F15" w:rsidR="00FB093B" w:rsidRDefault="00FB093B" w:rsidP="00FB093B">
      <w:pPr>
        <w:rPr>
          <w:szCs w:val="21"/>
        </w:rPr>
      </w:pPr>
      <w:r w:rsidRPr="00FB093B">
        <w:rPr>
          <w:rFonts w:hint="eastAsia"/>
          <w:szCs w:val="21"/>
        </w:rPr>
        <w:t>股票评分单元的优化</w:t>
      </w:r>
      <w:proofErr w:type="gramStart"/>
      <w:r w:rsidRPr="00FB093B">
        <w:rPr>
          <w:rFonts w:hint="eastAsia"/>
          <w:szCs w:val="21"/>
        </w:rPr>
        <w:t>目标为迹的</w:t>
      </w:r>
      <w:proofErr w:type="gramEnd"/>
      <w:r w:rsidRPr="00FB093B">
        <w:rPr>
          <w:rFonts w:hint="eastAsia"/>
          <w:szCs w:val="21"/>
        </w:rPr>
        <w:t>对数累积财富最大化：</w:t>
      </w:r>
    </w:p>
    <w:p w14:paraId="3ED3BA8E" w14:textId="20F37854" w:rsidR="00FB093B" w:rsidRDefault="00FB093B" w:rsidP="00FB093B">
      <w:pPr>
        <w:rPr>
          <w:szCs w:val="21"/>
        </w:rPr>
      </w:pPr>
      <w:r w:rsidRPr="00FB093B">
        <w:rPr>
          <w:noProof/>
          <w:szCs w:val="21"/>
        </w:rPr>
        <w:drawing>
          <wp:inline distT="0" distB="0" distL="0" distR="0" wp14:anchorId="375BEB49" wp14:editId="28DB33DC">
            <wp:extent cx="2146852" cy="597841"/>
            <wp:effectExtent l="0" t="0" r="6350" b="0"/>
            <wp:docPr id="1690476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769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61575" cy="60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48FA" w14:textId="282A3203" w:rsidR="00FB093B" w:rsidRDefault="00FB093B" w:rsidP="00FB093B">
      <w:pPr>
        <w:rPr>
          <w:szCs w:val="21"/>
        </w:rPr>
      </w:pPr>
      <w:r w:rsidRPr="00FB093B">
        <w:rPr>
          <w:rFonts w:hint="eastAsia"/>
          <w:szCs w:val="21"/>
        </w:rPr>
        <w:t>市场打分的策略使用高斯策略</w:t>
      </w:r>
    </w:p>
    <w:p w14:paraId="793DA544" w14:textId="19C1D5A8" w:rsidR="00FB093B" w:rsidRDefault="00FB093B" w:rsidP="00FB093B">
      <w:pPr>
        <w:rPr>
          <w:szCs w:val="21"/>
        </w:rPr>
      </w:pPr>
      <w:r w:rsidRPr="00FB093B">
        <w:rPr>
          <w:noProof/>
          <w:szCs w:val="21"/>
        </w:rPr>
        <w:drawing>
          <wp:inline distT="0" distB="0" distL="0" distR="0" wp14:anchorId="3C2E469A" wp14:editId="0CE4B444">
            <wp:extent cx="3188473" cy="512474"/>
            <wp:effectExtent l="0" t="0" r="0" b="1905"/>
            <wp:docPr id="334487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8706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9354" cy="51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57B7" w14:textId="55221A56" w:rsidR="00FB093B" w:rsidRDefault="00FB093B" w:rsidP="00FB093B">
      <w:pPr>
        <w:rPr>
          <w:szCs w:val="21"/>
        </w:rPr>
      </w:pPr>
      <w:r w:rsidRPr="00FB093B">
        <w:rPr>
          <w:rFonts w:hint="eastAsia"/>
          <w:szCs w:val="21"/>
        </w:rPr>
        <w:t>给定</w:t>
      </w:r>
      <w:r w:rsidRPr="00FB093B">
        <w:rPr>
          <w:szCs w:val="21"/>
        </w:rPr>
        <w:t>reward</w:t>
      </w:r>
      <w:r>
        <w:rPr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 w:hint="eastAsia"/>
                <w:szCs w:val="21"/>
              </w:rPr>
              <m:t>t</m:t>
            </m:r>
          </m:sup>
        </m:sSup>
      </m:oMath>
      <w:r>
        <w:rPr>
          <w:rFonts w:hint="eastAsia"/>
          <w:szCs w:val="21"/>
        </w:rPr>
        <w:t>， 优化目标为</w:t>
      </w:r>
    </w:p>
    <w:p w14:paraId="327E12A3" w14:textId="7E1AE950" w:rsidR="00FB093B" w:rsidRDefault="00FB093B" w:rsidP="00FB093B">
      <w:pPr>
        <w:rPr>
          <w:szCs w:val="21"/>
        </w:rPr>
      </w:pPr>
      <w:r w:rsidRPr="00FB093B">
        <w:rPr>
          <w:noProof/>
          <w:szCs w:val="21"/>
        </w:rPr>
        <w:drawing>
          <wp:inline distT="0" distB="0" distL="0" distR="0" wp14:anchorId="6975953A" wp14:editId="324D269D">
            <wp:extent cx="2512612" cy="628909"/>
            <wp:effectExtent l="0" t="0" r="2540" b="0"/>
            <wp:docPr id="814139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390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9539" cy="63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956D" w14:textId="4EA29967" w:rsidR="00FB093B" w:rsidRDefault="00FB093B" w:rsidP="00FB093B">
      <w:pPr>
        <w:rPr>
          <w:szCs w:val="21"/>
        </w:rPr>
      </w:pPr>
      <w:r w:rsidRPr="00FB093B">
        <w:rPr>
          <w:rFonts w:hint="eastAsia"/>
          <w:szCs w:val="21"/>
        </w:rPr>
        <w:t>最终的优化目标：</w:t>
      </w:r>
    </w:p>
    <w:p w14:paraId="59D0EBA7" w14:textId="4908CB38" w:rsidR="00FB093B" w:rsidRDefault="00FB093B" w:rsidP="00FB093B">
      <w:pPr>
        <w:rPr>
          <w:szCs w:val="21"/>
        </w:rPr>
      </w:pPr>
      <w:r w:rsidRPr="00FB093B">
        <w:rPr>
          <w:noProof/>
          <w:szCs w:val="21"/>
        </w:rPr>
        <w:drawing>
          <wp:inline distT="0" distB="0" distL="0" distR="0" wp14:anchorId="71690B1E" wp14:editId="65DC6DB1">
            <wp:extent cx="2915057" cy="924054"/>
            <wp:effectExtent l="0" t="0" r="0" b="9525"/>
            <wp:docPr id="1302802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0249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4120" w14:textId="7F1AE4A5" w:rsidR="00FB093B" w:rsidRDefault="00FB093B" w:rsidP="00FB093B">
      <w:pPr>
        <w:rPr>
          <w:szCs w:val="21"/>
        </w:rPr>
      </w:pPr>
      <w:r>
        <w:rPr>
          <w:rFonts w:hint="eastAsia"/>
          <w:szCs w:val="21"/>
        </w:rPr>
        <w:t>使用梯度下降算法更新</w:t>
      </w:r>
    </w:p>
    <w:p w14:paraId="5369980C" w14:textId="77777777" w:rsidR="00FB093B" w:rsidRDefault="00FB093B" w:rsidP="00FB093B">
      <w:pPr>
        <w:rPr>
          <w:szCs w:val="21"/>
        </w:rPr>
      </w:pPr>
    </w:p>
    <w:p w14:paraId="790B2699" w14:textId="77777777" w:rsidR="00FB093B" w:rsidRDefault="00FB093B" w:rsidP="00FB093B">
      <w:pPr>
        <w:rPr>
          <w:szCs w:val="21"/>
        </w:rPr>
      </w:pPr>
    </w:p>
    <w:p w14:paraId="6B7CBC75" w14:textId="77777777" w:rsidR="00FB093B" w:rsidRDefault="00FB093B" w:rsidP="00FB093B">
      <w:pPr>
        <w:rPr>
          <w:szCs w:val="21"/>
        </w:rPr>
      </w:pPr>
    </w:p>
    <w:p w14:paraId="3928C3BF" w14:textId="77777777" w:rsidR="00FB093B" w:rsidRDefault="00FB093B" w:rsidP="00FB093B">
      <w:pPr>
        <w:rPr>
          <w:szCs w:val="21"/>
        </w:rPr>
      </w:pPr>
    </w:p>
    <w:p w14:paraId="155CC688" w14:textId="77777777" w:rsidR="00FB093B" w:rsidRDefault="00FB093B" w:rsidP="00FB093B">
      <w:pPr>
        <w:rPr>
          <w:szCs w:val="21"/>
        </w:rPr>
      </w:pPr>
    </w:p>
    <w:p w14:paraId="5FA30D94" w14:textId="77777777" w:rsidR="00FB093B" w:rsidRDefault="00FB093B" w:rsidP="00FB093B">
      <w:pPr>
        <w:rPr>
          <w:szCs w:val="21"/>
        </w:rPr>
      </w:pPr>
    </w:p>
    <w:p w14:paraId="57CD2637" w14:textId="77777777" w:rsidR="00FB093B" w:rsidRDefault="00FB093B" w:rsidP="00FB093B">
      <w:pPr>
        <w:rPr>
          <w:szCs w:val="21"/>
        </w:rPr>
      </w:pPr>
    </w:p>
    <w:p w14:paraId="55F291D6" w14:textId="77777777" w:rsidR="00FB093B" w:rsidRDefault="00FB093B" w:rsidP="00FB093B">
      <w:pPr>
        <w:rPr>
          <w:szCs w:val="21"/>
        </w:rPr>
      </w:pPr>
    </w:p>
    <w:p w14:paraId="63DA692E" w14:textId="77777777" w:rsidR="00FB093B" w:rsidRDefault="00FB093B" w:rsidP="00FB093B">
      <w:pPr>
        <w:rPr>
          <w:szCs w:val="21"/>
        </w:rPr>
      </w:pPr>
    </w:p>
    <w:p w14:paraId="5F0D0CAA" w14:textId="77777777" w:rsidR="00FB093B" w:rsidRDefault="00FB093B" w:rsidP="00FB093B">
      <w:pPr>
        <w:rPr>
          <w:szCs w:val="21"/>
        </w:rPr>
      </w:pPr>
    </w:p>
    <w:p w14:paraId="6392A32D" w14:textId="77777777" w:rsidR="00FB093B" w:rsidRDefault="00FB093B" w:rsidP="00FB093B">
      <w:pPr>
        <w:rPr>
          <w:szCs w:val="21"/>
        </w:rPr>
      </w:pPr>
    </w:p>
    <w:p w14:paraId="6C543B65" w14:textId="77777777" w:rsidR="00FB093B" w:rsidRDefault="00FB093B" w:rsidP="00FB093B">
      <w:pPr>
        <w:rPr>
          <w:szCs w:val="21"/>
        </w:rPr>
      </w:pPr>
    </w:p>
    <w:p w14:paraId="031CE891" w14:textId="7C7AD042" w:rsidR="00593293" w:rsidRDefault="00FB093B" w:rsidP="00FB093B">
      <w:pPr>
        <w:rPr>
          <w:szCs w:val="21"/>
        </w:rPr>
      </w:pPr>
      <w:r>
        <w:rPr>
          <w:rFonts w:hint="eastAsia"/>
          <w:szCs w:val="21"/>
        </w:rPr>
        <w:lastRenderedPageBreak/>
        <w:t>评估：由于</w:t>
      </w:r>
      <w:r w:rsidR="00593293">
        <w:rPr>
          <w:rFonts w:hint="eastAsia"/>
          <w:szCs w:val="21"/>
        </w:rPr>
        <w:t>团队</w:t>
      </w:r>
      <w:r>
        <w:rPr>
          <w:rFonts w:hint="eastAsia"/>
          <w:szCs w:val="21"/>
        </w:rPr>
        <w:t>短时间内缺乏相关可用数据集</w:t>
      </w:r>
      <w:r w:rsidR="00593293">
        <w:rPr>
          <w:rFonts w:hint="eastAsia"/>
          <w:szCs w:val="21"/>
        </w:rPr>
        <w:t>以及训练模型可用算力</w:t>
      </w:r>
      <w:r>
        <w:rPr>
          <w:rFonts w:hint="eastAsia"/>
          <w:szCs w:val="21"/>
        </w:rPr>
        <w:t>，我们无法将该模型应用在</w:t>
      </w:r>
      <w:r w:rsidR="00593293">
        <w:rPr>
          <w:rFonts w:hint="eastAsia"/>
          <w:szCs w:val="21"/>
        </w:rPr>
        <w:t>中</w:t>
      </w:r>
      <w:proofErr w:type="gramStart"/>
      <w:r w:rsidR="00593293">
        <w:rPr>
          <w:rFonts w:hint="eastAsia"/>
          <w:szCs w:val="21"/>
        </w:rPr>
        <w:t>特估股票</w:t>
      </w:r>
      <w:proofErr w:type="gramEnd"/>
      <w:r w:rsidR="00593293">
        <w:rPr>
          <w:rFonts w:hint="eastAsia"/>
          <w:szCs w:val="21"/>
        </w:rPr>
        <w:t>模型上。</w:t>
      </w:r>
    </w:p>
    <w:p w14:paraId="6D59FB90" w14:textId="77777777" w:rsidR="00593293" w:rsidRDefault="00593293" w:rsidP="00FB093B">
      <w:pPr>
        <w:rPr>
          <w:szCs w:val="21"/>
        </w:rPr>
      </w:pPr>
    </w:p>
    <w:p w14:paraId="25B7A6A2" w14:textId="67983547" w:rsidR="00593293" w:rsidRDefault="00593293" w:rsidP="00FB093B">
      <w:pPr>
        <w:rPr>
          <w:szCs w:val="21"/>
        </w:rPr>
      </w:pPr>
      <w:r>
        <w:rPr>
          <w:rFonts w:hint="eastAsia"/>
          <w:szCs w:val="21"/>
        </w:rPr>
        <w:t>下列为原文中使用C</w:t>
      </w:r>
      <w:r>
        <w:rPr>
          <w:szCs w:val="21"/>
        </w:rPr>
        <w:t>SI100</w:t>
      </w:r>
      <w:r>
        <w:rPr>
          <w:rFonts w:hint="eastAsia"/>
          <w:szCs w:val="21"/>
        </w:rPr>
        <w:t>数据集，D</w:t>
      </w:r>
      <w:r>
        <w:rPr>
          <w:szCs w:val="21"/>
        </w:rPr>
        <w:t>JIA</w:t>
      </w:r>
      <w:r>
        <w:rPr>
          <w:rFonts w:hint="eastAsia"/>
          <w:szCs w:val="21"/>
        </w:rPr>
        <w:t>数据集，</w:t>
      </w:r>
      <w:r>
        <w:rPr>
          <w:szCs w:val="21"/>
        </w:rPr>
        <w:t>HSI</w:t>
      </w:r>
      <w:r>
        <w:rPr>
          <w:rFonts w:hint="eastAsia"/>
          <w:szCs w:val="21"/>
        </w:rPr>
        <w:t>数据集对模型所作的评估。</w:t>
      </w:r>
    </w:p>
    <w:p w14:paraId="70D33F76" w14:textId="355E6689" w:rsidR="00593293" w:rsidRDefault="00593293" w:rsidP="00FB093B">
      <w:pPr>
        <w:rPr>
          <w:szCs w:val="21"/>
        </w:rPr>
      </w:pPr>
      <w:r w:rsidRPr="00593293">
        <w:rPr>
          <w:noProof/>
          <w:szCs w:val="21"/>
        </w:rPr>
        <w:drawing>
          <wp:inline distT="0" distB="0" distL="0" distR="0" wp14:anchorId="019069FE" wp14:editId="76415491">
            <wp:extent cx="5274310" cy="1257300"/>
            <wp:effectExtent l="0" t="0" r="2540" b="0"/>
            <wp:docPr id="1098459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5984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3811" w14:textId="00360417" w:rsidR="00593293" w:rsidRDefault="00593293" w:rsidP="00FB093B">
      <w:pPr>
        <w:rPr>
          <w:szCs w:val="21"/>
        </w:rPr>
      </w:pPr>
      <w:r w:rsidRPr="00593293">
        <w:rPr>
          <w:noProof/>
          <w:szCs w:val="21"/>
        </w:rPr>
        <w:drawing>
          <wp:inline distT="0" distB="0" distL="0" distR="0" wp14:anchorId="33478C0C" wp14:editId="5B0237B4">
            <wp:extent cx="5274310" cy="3486785"/>
            <wp:effectExtent l="0" t="0" r="2540" b="0"/>
            <wp:docPr id="326804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0435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887A" w14:textId="35EF9FE9" w:rsidR="00593293" w:rsidRDefault="00593293" w:rsidP="00FB093B">
      <w:pPr>
        <w:rPr>
          <w:szCs w:val="21"/>
        </w:rPr>
      </w:pPr>
      <w:r w:rsidRPr="00593293">
        <w:rPr>
          <w:noProof/>
          <w:szCs w:val="21"/>
        </w:rPr>
        <w:drawing>
          <wp:inline distT="0" distB="0" distL="0" distR="0" wp14:anchorId="44D675E0" wp14:editId="5BDBDAF5">
            <wp:extent cx="5274310" cy="2613025"/>
            <wp:effectExtent l="0" t="0" r="2540" b="0"/>
            <wp:docPr id="1610307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0784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1757" w14:textId="77777777" w:rsidR="00593293" w:rsidRDefault="00593293" w:rsidP="00FB093B">
      <w:pPr>
        <w:rPr>
          <w:szCs w:val="21"/>
        </w:rPr>
      </w:pPr>
    </w:p>
    <w:p w14:paraId="34387234" w14:textId="6C5A0B24" w:rsidR="00593293" w:rsidRDefault="00593293" w:rsidP="00FB093B">
      <w:pPr>
        <w:rPr>
          <w:szCs w:val="21"/>
        </w:rPr>
      </w:pPr>
      <w:r w:rsidRPr="00593293">
        <w:rPr>
          <w:noProof/>
          <w:szCs w:val="21"/>
        </w:rPr>
        <w:lastRenderedPageBreak/>
        <w:drawing>
          <wp:inline distT="0" distB="0" distL="0" distR="0" wp14:anchorId="556A4376" wp14:editId="43A4FA23">
            <wp:extent cx="5274310" cy="1907540"/>
            <wp:effectExtent l="0" t="0" r="2540" b="0"/>
            <wp:docPr id="501850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5002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1C4C" w14:textId="0ADC60FB" w:rsidR="00593293" w:rsidRPr="00FB093B" w:rsidRDefault="00593293" w:rsidP="00FB093B">
      <w:pPr>
        <w:rPr>
          <w:szCs w:val="21"/>
        </w:rPr>
      </w:pPr>
      <w:r w:rsidRPr="00593293">
        <w:rPr>
          <w:noProof/>
          <w:szCs w:val="21"/>
        </w:rPr>
        <w:drawing>
          <wp:inline distT="0" distB="0" distL="0" distR="0" wp14:anchorId="43812319" wp14:editId="4948C1E2">
            <wp:extent cx="5274310" cy="1091565"/>
            <wp:effectExtent l="0" t="0" r="2540" b="0"/>
            <wp:docPr id="1776610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1021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293" w:rsidRPr="00FB0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48687" w14:textId="77777777" w:rsidR="002A2D6B" w:rsidRDefault="002A2D6B" w:rsidP="00B27FEA">
      <w:r>
        <w:separator/>
      </w:r>
    </w:p>
  </w:endnote>
  <w:endnote w:type="continuationSeparator" w:id="0">
    <w:p w14:paraId="4098067C" w14:textId="77777777" w:rsidR="002A2D6B" w:rsidRDefault="002A2D6B" w:rsidP="00B27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E0636" w14:textId="77777777" w:rsidR="002A2D6B" w:rsidRDefault="002A2D6B" w:rsidP="00B27FEA">
      <w:r>
        <w:separator/>
      </w:r>
    </w:p>
  </w:footnote>
  <w:footnote w:type="continuationSeparator" w:id="0">
    <w:p w14:paraId="592AEDFD" w14:textId="77777777" w:rsidR="002A2D6B" w:rsidRDefault="002A2D6B" w:rsidP="00B27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D569D"/>
    <w:multiLevelType w:val="multilevel"/>
    <w:tmpl w:val="367E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04"/>
    <w:rsid w:val="000C4E1E"/>
    <w:rsid w:val="001045B7"/>
    <w:rsid w:val="0011692D"/>
    <w:rsid w:val="002A2D6B"/>
    <w:rsid w:val="00351948"/>
    <w:rsid w:val="00354130"/>
    <w:rsid w:val="0042212C"/>
    <w:rsid w:val="005212EF"/>
    <w:rsid w:val="00593293"/>
    <w:rsid w:val="00593FB2"/>
    <w:rsid w:val="005D196E"/>
    <w:rsid w:val="00764304"/>
    <w:rsid w:val="009D0317"/>
    <w:rsid w:val="00B27FEA"/>
    <w:rsid w:val="00B86AA6"/>
    <w:rsid w:val="00C46633"/>
    <w:rsid w:val="00F33FD3"/>
    <w:rsid w:val="00FB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DF157"/>
  <w15:chartTrackingRefBased/>
  <w15:docId w15:val="{04A109FE-8EC7-4516-A7ED-CA5B3CFA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4E1E"/>
    <w:rPr>
      <w:color w:val="666666"/>
    </w:rPr>
  </w:style>
  <w:style w:type="paragraph" w:styleId="a4">
    <w:name w:val="List Paragraph"/>
    <w:basedOn w:val="a"/>
    <w:uiPriority w:val="34"/>
    <w:qFormat/>
    <w:rsid w:val="001045B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7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7F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7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7F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wmf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xinwei jiang</dc:creator>
  <cp:keywords/>
  <dc:description/>
  <cp:lastModifiedBy>lenovo</cp:lastModifiedBy>
  <cp:revision>2</cp:revision>
  <dcterms:created xsi:type="dcterms:W3CDTF">2023-11-07T14:36:00Z</dcterms:created>
  <dcterms:modified xsi:type="dcterms:W3CDTF">2023-11-07T14:36:00Z</dcterms:modified>
</cp:coreProperties>
</file>