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Calibri" w:cs="Calibri" w:eastAsia="Microsoft YaHei" w:hAnsi="Calibri"/>
          <w:b/>
          <w:bCs/>
          <w:sz w:val="40"/>
          <w:szCs w:val="40"/>
        </w:rPr>
        <w:t xml:space="preserve">读者 4：被动屏蔽、阻力、成本、方案的局限</w:t>
      </w:r>
    </w:p>
    <w:p>
      <w:pPr>
        <w:spacing w:after="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你读 S6d、S6e、S6f、S6g，共 174 个词，按每分钟约 150 词念约 1:10。</w:t>
      </w:r>
    </w:p>
    <w:p>
      <w:pPr>
        <w:spacing w:after="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全片顺序：读者 1（S1–S3）→ 读者 2（S4–S5c）→ 读者 3（S5d–S6c）→ 读者 4（S6d–S6g）→ 读者 1（S7）</w:t>
      </w:r>
    </w:p>
    <w:p>
      <w:pPr>
        <w:pBdr>
          <w:bottom w:val="single" w:color="BBBBBB" w:sz="6" w:space="8"/>
        </w:pBdr>
        <w:spacing w:after="240"/>
      </w:pPr>
      <w:r>
        <w:rPr>
          <w:rFonts w:ascii="Calibri" w:cs="Calibri" w:eastAsia="Microsoft YaHei" w:hAnsi="Calibri"/>
          <w:color w:val="666666"/>
          <w:sz w:val="20"/>
          <w:szCs w:val="20"/>
        </w:rPr>
        <w:t xml:space="preserve">灰色的"接在…后面"是你开口前听到的最后几个词；"交给…"是你读完后接着说的人。</w:t>
      </w:r>
    </w:p>
    <w:p>
      <w:pPr>
        <w:spacing w:after="0" w:before="280"/>
      </w:pPr>
      <w:r>
        <w:rPr>
          <w:rFonts w:ascii="Calibri" w:cs="Calibri" w:eastAsia="Microsoft YaHei" w:hAnsi="Calibri"/>
          <w:b/>
          <w:bCs/>
          <w:color w:val="1F5C99"/>
          <w:sz w:val="19"/>
          <w:szCs w:val="19"/>
        </w:rPr>
        <w:t xml:space="preserve">接在读者 3 后面，听到：</w:t>
      </w:r>
      <w:r>
        <w:rPr>
          <w:rFonts w:ascii="Calibri" w:cs="Calibri" w:eastAsia="Microsoft YaHei" w:hAnsi="Calibri"/>
          <w:i/>
          <w:iCs/>
          <w:color w:val="1F5C99"/>
          <w:sz w:val="19"/>
          <w:szCs w:val="19"/>
        </w:rPr>
        <w:t xml:space="preserve">…vault, with a hot spare and error-correcting memory.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S6d  ③ 被动屏蔽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3:34–4:01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Three is passive protection. At 53 degrees, Earth's magnetic field alone cuts the dose sixteen-fold. A sealed box wraps the computer, its power and its memory: 3.7 millimetres of aluminium lined with 7.5 millimetres of polyethylene. Its solar-particle dose stays fifty times below the chip limit, and it's a kilogram lighter than solid aluminium. Thicker walls barely help, so layer two handles the protons that still get through.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shielding.png 中图（地球磁场挡掉多少）→ vault_diagram.png（保险箱剖面图：铝 3.7 mm、聚乙烯 7.5 mm），或实物道具：3–4 mm 铝板叠上约 8 mm 的聚乙烯砧板 → shielding.png 右图（星星是我们的保险箱）。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S6e  其次是阻力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4:01–4:13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Second, drag. Coronagraphs warn us one to three days before a storm hits. We deploy at 300 kilometres, not 210, which gives weeks of margin instead of two or three days.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SOHO 日冕仪拍到的日冕物质抛射（SVS 3956 或 Helioviewer 的 LASCO C3）→ drag_leo.png 中图。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S6f  成本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4:13–4:24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</w:rPr>
        <w:t xml:space="preserve">With spares in orbit and off-grid ground stations, all this adds twelve kilograms per satellite instead of 234, at six percent of the cost of full hardening.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layered_protection.png 全表 → cost.png。</w:t>
      </w:r>
    </w:p>
    <w:p>
      <w:pPr>
        <w:pStyle w:val="Heading2"/>
        <w:keepNext/>
        <w:spacing w:after="100" w:before="28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S6g  方案的局限</w:t>
      </w:r>
      <w:r>
        <w:rPr>
          <w:rFonts w:ascii="Calibri" w:cs="Calibri" w:eastAsia="Microsoft YaHei" w:hAnsi="Calibri"/>
          <w:color w:val="666666"/>
          <w:sz w:val="22"/>
          <w:szCs w:val="22"/>
        </w:rPr>
        <w:t xml:space="preserve">    4:24–4:44</w:t>
      </w:r>
      <w:r>
        <w:rPr>
          <w:rFonts w:ascii="Calibri" w:cs="Calibri" w:eastAsia="Microsoft YaHei" w:hAnsi="Calibri"/>
          <w:b/>
          <w:bCs/>
          <w:color w:val="1F5C99"/>
          <w:sz w:val="22"/>
          <w:szCs w:val="22"/>
        </w:rPr>
        <w:t xml:space="preserve"/>
      </w:r>
    </w:p>
    <w:p>
      <w:pPr>
        <w:spacing w:after="100" w:line="320"/>
      </w:pPr>
      <w:r>
        <w:rPr>
          <w:rFonts w:ascii="Calibri" w:cs="Calibri" w:eastAsia="Microsoft YaHei" w:hAnsi="Calibri"/>
          <w:sz w:val="24"/>
          <w:szCs w:val="24"/>
          <w:highlight w:val="yellow"/>
          <w:highlightCs w:val="yellow"/>
        </w:rPr>
        <w:t xml:space="preserve">Our design has limits too. We counted solar particles, not the radiation belts. Our calendar predicts when a region faces us, not whether it erupts. The box is untested, and our costs are estimates. Next, we would model the belts and test the box in a proton beam.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666666"/>
          <w:sz w:val="19"/>
          <w:szCs w:val="19"/>
        </w:rPr>
        <w:t xml:space="preserve">画面：</w:t>
      </w:r>
      <w:r>
        <w:rPr>
          <w:rFonts w:ascii="Calibri" w:cs="Calibri" w:eastAsia="Microsoft YaHei" w:hAnsi="Calibri"/>
          <w:color w:val="666666"/>
          <w:sz w:val="19"/>
          <w:szCs w:val="19"/>
        </w:rPr>
        <w:t xml:space="preserve">白底文字卡，标题 Limitations：radiation belts not modelled / calendar: when, not whether / box untested / costs are estimates；最后一行 Next: radiation-belt model, proton-beam test。</w:t>
      </w:r>
    </w:p>
    <w:p>
      <w:pPr>
        <w:spacing w:after="60"/>
      </w:pPr>
      <w:r>
        <w:rPr>
          <w:rFonts w:ascii="Calibri" w:cs="Calibri" w:eastAsia="Microsoft YaHei" w:hAnsi="Calibri"/>
          <w:b/>
          <w:bCs/>
          <w:color w:val="1F5C99"/>
          <w:sz w:val="19"/>
          <w:szCs w:val="19"/>
        </w:rPr>
        <w:t xml:space="preserve">读完交给读者 1（S7）。</w:t>
      </w:r>
    </w:p>
    <w:p>
      <w:pPr>
        <w:pStyle w:val="Heading1"/>
        <w:pageBreakBefore/>
        <w:spacing w:after="120" w:before="480"/>
      </w:pPr>
      <w:r>
        <w:rPr>
          <w:rFonts w:ascii="Calibri" w:cs="Calibri" w:eastAsia="Microsoft YaHei" w:hAnsi="Calibri"/>
          <w:b/>
          <w:bCs/>
          <w:sz w:val="28"/>
          <w:szCs w:val="28"/>
        </w:rPr>
        <w:t xml:space="preserve">评委追问局限时可以补充（不用念）</w:t>
      </w:r>
    </w:p>
    <w:p>
      <w:pPr>
        <w:pStyle w:val="Heading3"/>
        <w:spacing w:after="80" w:before="12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预测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210 种组合只来自约 15 个独立的周期（1855–2019 年），是历史情景出现的频率，不是校准过的概率。比记录里任何一个周期都弱的周期，没有被覆盖。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三种方法得到的峰值：组合法 2035.4 ± 1.2，蝴蝶图法 2036.4，13 个周期平均 2034.8，都在 2035 年前后一年之内。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质子事件和耀斑次数，是按黑子数成比例推算的平均值；NOAA 的质子事件列表只到 2017 年。大风暴在任何一年都可能发生。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2029–2031 年第 26 周期的高纬度黑子出现后，可以把预测收紧。</w:t>
      </w:r>
    </w:p>
    <w:p>
      <w:pPr>
        <w:pStyle w:val="Heading3"/>
        <w:spacing w:after="8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方案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剂量只算了太阳质子。辐射带（南大西洋异常区）和银河宇宙射线没有算；下一步用 AE9/AP9 辐射带模型（美国空军研究实验室牵头开发）。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输运用的是直线近似，不算次级粒子；100 MeV 以上的能谱是外推的；地磁截止纬度的移动是按观测校准的近似值。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芯片能承受约 10 krad 是假设。能引起单粒子翻转的质子约有一半能穿过保险箱，所以要靠冗余、纠错内存和安全模式。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活动区日历能预测活动区什么时候正对地球（2024 年 5 月那个区，误差 0.7 天），但预测不了它会不会爆发。快的质子事件只有几分钟预警，所以飞控电脑一直待在保险箱里。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铝加聚乙烯的保险箱还没做过测试，需要做质子束辐照和热真空测试。聚乙烯不导电，所以放在接地的铝里面，电脑装在铝上散热。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成本是数量级估计：分层防护每年约 7,800 万美元（3,900 万–1.57 亿），取决于发射价格等假设。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sz w:val="21"/>
          <w:szCs w:val="21"/>
        </w:rPr>
        <w:t xml:space="preserve">阻力用 NRLMSIS 2.1 大气模型和日平均 Ap；用 3 小时一次的 ap 检查过，风暴峰值相差不到 10%。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2026-10-31T07:13:21.523Z</dcterms:created>
  <dcterms:modified xsi:type="dcterms:W3CDTF">2026-10-31T07:13:21.523Z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