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8E0D" w14:textId="77777777" w:rsidR="002E5EB3" w:rsidRDefault="00000000">
      <w:pPr>
        <w:spacing w:after="160"/>
        <w:jc w:val="center"/>
      </w:pPr>
      <w:r>
        <w:rPr>
          <w:b/>
          <w:bCs/>
          <w:sz w:val="28"/>
          <w:szCs w:val="28"/>
        </w:rPr>
        <w:t>AI</w:t>
      </w:r>
      <w:proofErr w:type="gramStart"/>
      <w:r>
        <w:rPr>
          <w:b/>
          <w:bCs/>
          <w:sz w:val="28"/>
          <w:szCs w:val="28"/>
        </w:rPr>
        <w:t>賦能教育</w:t>
      </w:r>
      <w:proofErr w:type="gramEnd"/>
      <w:r>
        <w:rPr>
          <w:b/>
          <w:bCs/>
          <w:sz w:val="28"/>
          <w:szCs w:val="28"/>
        </w:rPr>
        <w:t>普及化</w:t>
      </w:r>
      <w:proofErr w:type="gramStart"/>
      <w:r>
        <w:rPr>
          <w:b/>
          <w:bCs/>
          <w:sz w:val="28"/>
          <w:szCs w:val="28"/>
        </w:rPr>
        <w:t>——</w:t>
      </w:r>
      <w:r>
        <w:rPr>
          <w:b/>
          <w:bCs/>
          <w:sz w:val="28"/>
          <w:szCs w:val="28"/>
        </w:rPr>
        <w:t>短影</w:t>
      </w:r>
      <w:proofErr w:type="gramEnd"/>
      <w:r>
        <w:rPr>
          <w:b/>
          <w:bCs/>
          <w:sz w:val="28"/>
          <w:szCs w:val="28"/>
        </w:rPr>
        <w:t>音學習平台的社會責任實踐</w:t>
      </w:r>
    </w:p>
    <w:p w14:paraId="64C83BBF" w14:textId="173E186E" w:rsidR="002E5EB3" w:rsidRDefault="00565324">
      <w:pPr>
        <w:spacing w:after="40"/>
        <w:jc w:val="center"/>
      </w:pPr>
      <w:r w:rsidRPr="00D7185F">
        <w:rPr>
          <w:rFonts w:hint="eastAsia"/>
        </w:rPr>
        <w:t>蒯思齊</w:t>
      </w:r>
      <w:r>
        <w:rPr>
          <w:rFonts w:hint="eastAsia"/>
        </w:rPr>
        <w:t>、</w:t>
      </w:r>
      <w:proofErr w:type="gramStart"/>
      <w:r>
        <w:rPr>
          <w:rFonts w:hint="eastAsia"/>
        </w:rPr>
        <w:t>鍾百陶</w:t>
      </w:r>
      <w:proofErr w:type="gramEnd"/>
      <w:r w:rsidR="00000000">
        <w:t>、</w:t>
      </w:r>
      <w:r>
        <w:rPr>
          <w:rFonts w:hint="eastAsia"/>
        </w:rPr>
        <w:t>邱偉豪</w:t>
      </w:r>
      <w:r w:rsidR="00000000">
        <w:t>、</w:t>
      </w:r>
      <w:r>
        <w:rPr>
          <w:rFonts w:hint="eastAsia"/>
        </w:rPr>
        <w:t>張庭語、張家瑜</w:t>
      </w:r>
    </w:p>
    <w:p w14:paraId="438FB98B" w14:textId="77777777" w:rsidR="00565324" w:rsidRPr="00D7185F" w:rsidRDefault="00565324" w:rsidP="00565324">
      <w:pPr>
        <w:pBdr>
          <w:top w:val="nil"/>
          <w:left w:val="nil"/>
          <w:bottom w:val="nil"/>
          <w:right w:val="nil"/>
          <w:between w:val="nil"/>
        </w:pBdr>
        <w:ind w:hanging="2"/>
        <w:jc w:val="center"/>
        <w:rPr>
          <w:color w:val="000000"/>
        </w:rPr>
      </w:pPr>
      <w:sdt>
        <w:sdtPr>
          <w:tag w:val="goog_rdk_4"/>
          <w:id w:val="-1186441021"/>
        </w:sdtPr>
        <w:sdtContent>
          <w:r w:rsidRPr="00D7185F">
            <w:rPr>
              <w:rFonts w:cs="Gungsuh"/>
              <w:color w:val="000000"/>
            </w:rPr>
            <w:t>國立</w:t>
          </w:r>
          <w:proofErr w:type="gramStart"/>
          <w:r w:rsidRPr="00D7185F">
            <w:rPr>
              <w:rFonts w:cs="Gungsuh" w:hint="eastAsia"/>
              <w:color w:val="000000"/>
            </w:rPr>
            <w:t>臺</w:t>
          </w:r>
          <w:proofErr w:type="gramEnd"/>
          <w:r w:rsidRPr="00D7185F">
            <w:rPr>
              <w:rFonts w:cs="Gungsuh" w:hint="eastAsia"/>
              <w:color w:val="000000"/>
            </w:rPr>
            <w:t>北商業大學</w:t>
          </w:r>
          <w:r w:rsidRPr="00D7185F">
            <w:rPr>
              <w:rFonts w:cs="Gungsuh"/>
              <w:color w:val="000000"/>
            </w:rPr>
            <w:t xml:space="preserve"> </w:t>
          </w:r>
          <w:r w:rsidRPr="00D7185F">
            <w:rPr>
              <w:rFonts w:cs="Gungsuh"/>
              <w:color w:val="000000"/>
            </w:rPr>
            <w:t>資訊</w:t>
          </w:r>
          <w:r w:rsidRPr="00D7185F">
            <w:rPr>
              <w:rFonts w:cs="新細明體" w:hint="eastAsia"/>
              <w:color w:val="000000"/>
            </w:rPr>
            <w:t>管理</w:t>
          </w:r>
          <w:r w:rsidRPr="00D7185F">
            <w:rPr>
              <w:rFonts w:cs="Gungsuh"/>
              <w:color w:val="000000"/>
            </w:rPr>
            <w:t>系</w:t>
          </w:r>
        </w:sdtContent>
      </w:sdt>
    </w:p>
    <w:p w14:paraId="3823CCFE" w14:textId="4F0BC841" w:rsidR="002E5EB3" w:rsidRDefault="00000000">
      <w:pPr>
        <w:spacing w:after="20"/>
        <w:jc w:val="center"/>
      </w:pPr>
      <w:r>
        <w:t>*</w:t>
      </w:r>
      <w:r>
        <w:t>通訊作者：</w:t>
      </w:r>
      <w:r w:rsidR="00565324" w:rsidRPr="00D7185F">
        <w:rPr>
          <w:rFonts w:cs="新細明體" w:hint="eastAsia"/>
          <w:color w:val="000000"/>
        </w:rPr>
        <w:t>通訊作者</w:t>
      </w:r>
      <w:r w:rsidR="00565324" w:rsidRPr="00D7185F">
        <w:rPr>
          <w:color w:val="000000"/>
        </w:rPr>
        <w:t>:sckuai@ntub.edu.com,</w:t>
      </w:r>
      <w:r w:rsidR="00565324">
        <w:rPr>
          <w:rFonts w:hint="eastAsia"/>
          <w:color w:val="000000"/>
        </w:rPr>
        <w:t>11246084</w:t>
      </w:r>
      <w:r w:rsidR="00565324" w:rsidRPr="00D7185F">
        <w:rPr>
          <w:color w:val="000000"/>
        </w:rPr>
        <w:t xml:space="preserve"> </w:t>
      </w:r>
      <w:r w:rsidR="00565324" w:rsidRPr="00C97296">
        <w:rPr>
          <w:color w:val="000000"/>
        </w:rPr>
        <w:t>@ntub.edu.tw</w:t>
      </w:r>
    </w:p>
    <w:p w14:paraId="507BFCAC" w14:textId="77777777" w:rsidR="002E5EB3" w:rsidRDefault="00000000">
      <w:pPr>
        <w:spacing w:before="80" w:after="20" w:line="360" w:lineRule="auto"/>
        <w:jc w:val="both"/>
      </w:pPr>
      <w:r>
        <w:rPr>
          <w:b/>
          <w:bCs/>
        </w:rPr>
        <w:t>摘要</w:t>
      </w:r>
    </w:p>
    <w:p w14:paraId="3F992881" w14:textId="77777777" w:rsidR="002E5EB3" w:rsidRDefault="00000000">
      <w:pPr>
        <w:ind w:firstLine="480"/>
        <w:jc w:val="both"/>
      </w:pPr>
      <w:r>
        <w:t>本研究針對教育資源不均、長影音課程複習成本高與注意力碎片化問題，提出</w:t>
      </w:r>
      <w:r>
        <w:t xml:space="preserve"> AI </w:t>
      </w:r>
      <w:proofErr w:type="gramStart"/>
      <w:r>
        <w:t>短影音</w:t>
      </w:r>
      <w:proofErr w:type="gramEnd"/>
      <w:r>
        <w:t>學習平台。系統以教師錄音或課程影片為輸入，由</w:t>
      </w:r>
      <w:r>
        <w:t xml:space="preserve"> Whisper </w:t>
      </w:r>
      <w:r>
        <w:t>產生</w:t>
      </w:r>
      <w:proofErr w:type="gramStart"/>
      <w:r>
        <w:t>逐字稿與</w:t>
      </w:r>
      <w:proofErr w:type="gramEnd"/>
      <w:r>
        <w:t>時間軸，再以</w:t>
      </w:r>
      <w:r>
        <w:t xml:space="preserve"> </w:t>
      </w:r>
      <w:proofErr w:type="spellStart"/>
      <w:r>
        <w:t>InstructBlipVideo</w:t>
      </w:r>
      <w:proofErr w:type="spellEnd"/>
      <w:r>
        <w:t xml:space="preserve"> </w:t>
      </w:r>
      <w:r>
        <w:t>擷取畫面語意，規劃</w:t>
      </w:r>
      <w:r>
        <w:t xml:space="preserve"> 5 </w:t>
      </w:r>
      <w:r>
        <w:t>至</w:t>
      </w:r>
      <w:r>
        <w:t xml:space="preserve"> 10 </w:t>
      </w:r>
      <w:r>
        <w:t>段重點片段，並透過</w:t>
      </w:r>
      <w:r>
        <w:t xml:space="preserve"> Sora </w:t>
      </w:r>
      <w:r>
        <w:t>生成含字幕、重點圖卡與原片時間錨點</w:t>
      </w:r>
      <w:proofErr w:type="gramStart"/>
      <w:r>
        <w:t>之短影音</w:t>
      </w:r>
      <w:proofErr w:type="gramEnd"/>
      <w:r>
        <w:t>。使用者可於</w:t>
      </w:r>
      <w:r>
        <w:t xml:space="preserve"> App </w:t>
      </w:r>
      <w:r>
        <w:t>以滑動方式學習，並跳回原始片段深度複習。本文從</w:t>
      </w:r>
      <w:r>
        <w:t xml:space="preserve"> ESG </w:t>
      </w:r>
      <w:r>
        <w:t>社會責任觀點說明平台如何降低優質教育內容取得門檻，並兼顧資料治理、授權與</w:t>
      </w:r>
      <w:r>
        <w:t xml:space="preserve"> AI </w:t>
      </w:r>
      <w:r>
        <w:t>內容揭露。</w:t>
      </w:r>
    </w:p>
    <w:p w14:paraId="71B3A46B" w14:textId="77777777" w:rsidR="002E5EB3" w:rsidRDefault="00000000">
      <w:pPr>
        <w:spacing w:before="40" w:after="80" w:line="360" w:lineRule="auto"/>
        <w:jc w:val="both"/>
      </w:pPr>
      <w:r>
        <w:rPr>
          <w:b/>
          <w:bCs/>
        </w:rPr>
        <w:t>關鍵詞</w:t>
      </w:r>
      <w:r>
        <w:t>：教育普及化、</w:t>
      </w:r>
      <w:proofErr w:type="gramStart"/>
      <w:r>
        <w:t>短影音</w:t>
      </w:r>
      <w:proofErr w:type="gramEnd"/>
      <w:r>
        <w:t>學習、</w:t>
      </w:r>
      <w:r>
        <w:t>Whisper</w:t>
      </w:r>
      <w:r>
        <w:t>、</w:t>
      </w:r>
      <w:proofErr w:type="spellStart"/>
      <w:r>
        <w:t>InstructBlipVideo</w:t>
      </w:r>
      <w:proofErr w:type="spellEnd"/>
      <w:r>
        <w:t>、社會責任</w:t>
      </w:r>
    </w:p>
    <w:p w14:paraId="13B7889F" w14:textId="77777777" w:rsidR="002E5EB3" w:rsidRDefault="00000000">
      <w:pPr>
        <w:spacing w:before="80" w:after="20" w:line="360" w:lineRule="auto"/>
        <w:jc w:val="both"/>
      </w:pPr>
      <w:r>
        <w:rPr>
          <w:b/>
          <w:bCs/>
        </w:rPr>
        <w:t>Abstract</w:t>
      </w:r>
    </w:p>
    <w:p w14:paraId="0300F709" w14:textId="77777777" w:rsidR="002E5EB3" w:rsidRDefault="00000000">
      <w:pPr>
        <w:ind w:firstLine="480"/>
        <w:jc w:val="both"/>
      </w:pPr>
      <w:r>
        <w:t xml:space="preserve">This study proposes an AI-enabled short-video learning platform to address unequal access to educational resources, inefficient review of long-form lectures, and fragmented learner attention. The platform takes lecture audio or source video as input. Whisper generates transcripts and timestamps, </w:t>
      </w:r>
      <w:proofErr w:type="spellStart"/>
      <w:r>
        <w:t>InstructBlipVideo</w:t>
      </w:r>
      <w:proofErr w:type="spellEnd"/>
      <w:r>
        <w:t xml:space="preserve"> extracts visual semantics, and a planning module selects five to ten key learning segments. Sora then produces short-form clips with subtitles, key visuals, background music suggestions, and anchors linking back to the original lecture. Learners can study through a swipe-based app interface and return to the source video for deeper review. Rather than claiming quantitative outcomes, this paper focuses on system design and application scenarios, and discusses how the platform may support educational accessibility and ESG-related social responsibility while addressing governance issues such as copyright, data use, and AI-content disclosure.</w:t>
      </w:r>
    </w:p>
    <w:p w14:paraId="5711BB62" w14:textId="77777777" w:rsidR="002E5EB3" w:rsidRDefault="00000000">
      <w:pPr>
        <w:spacing w:before="40" w:after="80" w:line="360" w:lineRule="auto"/>
        <w:jc w:val="both"/>
      </w:pPr>
      <w:r>
        <w:rPr>
          <w:b/>
          <w:bCs/>
        </w:rPr>
        <w:t>Keywords</w:t>
      </w:r>
      <w:r>
        <w:t xml:space="preserve">: educational accessibility, short-video learning, Whisper, </w:t>
      </w:r>
      <w:proofErr w:type="spellStart"/>
      <w:r>
        <w:t>InstructBlipVideo</w:t>
      </w:r>
      <w:proofErr w:type="spellEnd"/>
      <w:r>
        <w:t>, social responsibility</w:t>
      </w:r>
    </w:p>
    <w:p w14:paraId="5E4E7166" w14:textId="77777777" w:rsidR="002E5EB3" w:rsidRDefault="00000000">
      <w:pPr>
        <w:spacing w:before="120" w:after="40"/>
        <w:jc w:val="both"/>
      </w:pPr>
      <w:r>
        <w:rPr>
          <w:b/>
          <w:bCs/>
          <w:sz w:val="28"/>
          <w:szCs w:val="28"/>
        </w:rPr>
        <w:t>壹、前言</w:t>
      </w:r>
    </w:p>
    <w:p w14:paraId="02613BE3" w14:textId="77777777" w:rsidR="002E5EB3" w:rsidRDefault="00000000">
      <w:pPr>
        <w:spacing w:before="120" w:after="40"/>
        <w:jc w:val="both"/>
      </w:pPr>
      <w:r>
        <w:rPr>
          <w:b/>
          <w:bCs/>
          <w:sz w:val="28"/>
          <w:szCs w:val="28"/>
        </w:rPr>
        <w:t>一、研究背景</w:t>
      </w:r>
    </w:p>
    <w:p w14:paraId="6743212B" w14:textId="77777777" w:rsidR="002E5EB3" w:rsidRDefault="00000000">
      <w:pPr>
        <w:ind w:firstLine="480"/>
        <w:jc w:val="both"/>
      </w:pPr>
      <w:r>
        <w:t>數位學習已逐漸成為高等教育與終身學習的重要途徑，但學習資源可近性與內容吸收效率仍存在明顯落差。聯合國永續發展目標（</w:t>
      </w:r>
      <w:r>
        <w:t>Sustainable Development Goals, SDGs</w:t>
      </w:r>
      <w:r>
        <w:t>）中的目標四強調「確保包容且公平之優質教育，並促進全民終身學習機會」，反映教育可近性與學習品質本身即屬永續發展的重要基礎（</w:t>
      </w:r>
      <w:r>
        <w:t>United Nations, 2025</w:t>
      </w:r>
      <w:r>
        <w:t>）。然而，當前大量優質課程內容雖已上線，學習者仍常面臨三項困境：第一，長影音課程時間成本高，不利於快速複習；第二，缺乏對應知識重點的導</w:t>
      </w:r>
      <w:proofErr w:type="gramStart"/>
      <w:r>
        <w:t>覽</w:t>
      </w:r>
      <w:proofErr w:type="gramEnd"/>
      <w:r>
        <w:t>機制，導致回看原始教材效率不佳；第三，學習工具多以內容上架為主，較少真正回應注意力分散與碎片化學習情境。</w:t>
      </w:r>
    </w:p>
    <w:p w14:paraId="155C6730" w14:textId="77777777" w:rsidR="002E5EB3" w:rsidRDefault="00000000">
      <w:pPr>
        <w:ind w:firstLine="480"/>
        <w:jc w:val="both"/>
      </w:pPr>
      <w:r>
        <w:t>另一方面，</w:t>
      </w:r>
      <w:r>
        <w:t xml:space="preserve">AI </w:t>
      </w:r>
      <w:r>
        <w:t>與教育的結合被認為具有提升可及性、個別化與學習效率的潛力，但</w:t>
      </w:r>
      <w:r>
        <w:t xml:space="preserve"> UNESCO </w:t>
      </w:r>
      <w:r>
        <w:t>亦提醒，教育科技若缺乏治理與人本視角，可能進一步擴大既有的不平等與資料風險</w:t>
      </w:r>
      <w:proofErr w:type="gramStart"/>
      <w:r>
        <w:t>（</w:t>
      </w:r>
      <w:proofErr w:type="gramEnd"/>
      <w:r>
        <w:t>UNESCO, 2021; UNESCO, 2023</w:t>
      </w:r>
      <w:proofErr w:type="gramStart"/>
      <w:r>
        <w:t>）</w:t>
      </w:r>
      <w:proofErr w:type="gramEnd"/>
      <w:r>
        <w:t>。因此，若要讓</w:t>
      </w:r>
      <w:r>
        <w:t xml:space="preserve"> AI </w:t>
      </w:r>
      <w:r>
        <w:t>真正成為教育普及化的工具，系統設計不應只追求生成速度或模型先進性，更須回到教育場景中的「可理解、可回溯、可複習」三項核心需求。</w:t>
      </w:r>
    </w:p>
    <w:p w14:paraId="14EF4A85" w14:textId="77777777" w:rsidR="002E5EB3" w:rsidRDefault="00000000">
      <w:pPr>
        <w:spacing w:before="120" w:after="40"/>
        <w:jc w:val="both"/>
      </w:pPr>
      <w:r>
        <w:rPr>
          <w:b/>
          <w:bCs/>
          <w:sz w:val="28"/>
          <w:szCs w:val="28"/>
        </w:rPr>
        <w:lastRenderedPageBreak/>
        <w:t>二、研究動機與目的</w:t>
      </w:r>
    </w:p>
    <w:p w14:paraId="3B0A9EFE" w14:textId="77777777" w:rsidR="002E5EB3" w:rsidRDefault="00000000">
      <w:pPr>
        <w:ind w:firstLine="480"/>
        <w:jc w:val="both"/>
      </w:pPr>
      <w:r>
        <w:t>本研究之動機在於，</w:t>
      </w:r>
      <w:proofErr w:type="gramStart"/>
      <w:r>
        <w:t>現有短影音</w:t>
      </w:r>
      <w:proofErr w:type="gramEnd"/>
      <w:r>
        <w:t>平台已高度改變使用者接收資訊的習慣，但教育內容通常仍停留於長影音播放與章節切割的型態，未能充分運用</w:t>
      </w:r>
      <w:r>
        <w:t xml:space="preserve"> AI </w:t>
      </w:r>
      <w:r>
        <w:t>將原本冗長課程重新轉譯為更符合行動學習節奏的內容形式。若能將一段一小時左右之教師錄音或課程影片，自動轉化為</w:t>
      </w:r>
      <w:proofErr w:type="gramStart"/>
      <w:r>
        <w:t>多段具節奏感</w:t>
      </w:r>
      <w:proofErr w:type="gramEnd"/>
      <w:r>
        <w:t>、帶有字幕與重點視覺輔助</w:t>
      </w:r>
      <w:proofErr w:type="gramStart"/>
      <w:r>
        <w:t>的短影音</w:t>
      </w:r>
      <w:proofErr w:type="gramEnd"/>
      <w:r>
        <w:t>，並保留回到原始課程脈絡的能力，則有望在「碎片化吸收」與「深度複習」之間建立橋接機制。</w:t>
      </w:r>
    </w:p>
    <w:p w14:paraId="2182457A" w14:textId="77777777" w:rsidR="002E5EB3" w:rsidRDefault="00000000">
      <w:pPr>
        <w:ind w:firstLine="480"/>
        <w:jc w:val="both"/>
      </w:pPr>
      <w:r>
        <w:t>基於此，本文提出一套</w:t>
      </w:r>
      <w:r>
        <w:t xml:space="preserve"> AI </w:t>
      </w:r>
      <w:proofErr w:type="gramStart"/>
      <w:r>
        <w:t>賦能之短影</w:t>
      </w:r>
      <w:proofErr w:type="gramEnd"/>
      <w:r>
        <w:t>音學習平台構想，研究目的如下：</w:t>
      </w:r>
    </w:p>
    <w:p w14:paraId="1DB00C93" w14:textId="77777777" w:rsidR="002E5EB3" w:rsidRDefault="00000000">
      <w:pPr>
        <w:ind w:left="360" w:hanging="240"/>
        <w:jc w:val="both"/>
      </w:pPr>
      <w:r>
        <w:t xml:space="preserve">1. </w:t>
      </w:r>
      <w:r>
        <w:t>建立一套由語音轉文字、畫面理解、重點片段規劃</w:t>
      </w:r>
      <w:proofErr w:type="gramStart"/>
      <w:r>
        <w:t>與短影音</w:t>
      </w:r>
      <w:proofErr w:type="gramEnd"/>
      <w:r>
        <w:t>生成所組成的智慧學習流程。</w:t>
      </w:r>
    </w:p>
    <w:p w14:paraId="05DF202C" w14:textId="77777777" w:rsidR="002E5EB3" w:rsidRDefault="00000000">
      <w:pPr>
        <w:ind w:left="360" w:hanging="240"/>
        <w:jc w:val="both"/>
      </w:pPr>
      <w:r>
        <w:t xml:space="preserve">2. </w:t>
      </w:r>
      <w:r>
        <w:t>說明</w:t>
      </w:r>
      <w:r>
        <w:t xml:space="preserve"> Whisper</w:t>
      </w:r>
      <w:r>
        <w:t>、</w:t>
      </w:r>
      <w:proofErr w:type="spellStart"/>
      <w:r>
        <w:t>InstructBlipVideo</w:t>
      </w:r>
      <w:proofErr w:type="spellEnd"/>
      <w:r>
        <w:t xml:space="preserve"> </w:t>
      </w:r>
      <w:r>
        <w:t>與</w:t>
      </w:r>
      <w:r>
        <w:t xml:space="preserve"> Sora </w:t>
      </w:r>
      <w:r>
        <w:t>在教育內容</w:t>
      </w:r>
      <w:proofErr w:type="gramStart"/>
      <w:r>
        <w:t>轉製上</w:t>
      </w:r>
      <w:proofErr w:type="gramEnd"/>
      <w:r>
        <w:t>的功能定位與整合邏輯。</w:t>
      </w:r>
    </w:p>
    <w:p w14:paraId="5BE1F75F" w14:textId="77777777" w:rsidR="002E5EB3" w:rsidRDefault="00000000">
      <w:pPr>
        <w:ind w:left="360" w:hanging="240"/>
        <w:jc w:val="both"/>
      </w:pPr>
      <w:r>
        <w:t xml:space="preserve">3. </w:t>
      </w:r>
      <w:r>
        <w:t>從</w:t>
      </w:r>
      <w:r>
        <w:t xml:space="preserve"> ESG </w:t>
      </w:r>
      <w:r>
        <w:t>中的社會責任（</w:t>
      </w:r>
      <w:r>
        <w:t>Social</w:t>
      </w:r>
      <w:r>
        <w:t>）觀點，分析本平台對降低教育門檻、擴大內容觸及與提升學習效率的可能貢獻。</w:t>
      </w:r>
    </w:p>
    <w:p w14:paraId="06DBEAFB" w14:textId="77777777" w:rsidR="002E5EB3" w:rsidRDefault="00000000">
      <w:pPr>
        <w:ind w:left="360" w:hanging="240"/>
        <w:jc w:val="both"/>
      </w:pPr>
      <w:r>
        <w:t xml:space="preserve">4. </w:t>
      </w:r>
      <w:r>
        <w:t>補充討論生成式</w:t>
      </w:r>
      <w:r>
        <w:t xml:space="preserve"> AI </w:t>
      </w:r>
      <w:r>
        <w:t>在教育場域中涉及之治理議題，包括版權、資料保護、內容透明揭露與使用邊界。</w:t>
      </w:r>
    </w:p>
    <w:p w14:paraId="3DD24F23" w14:textId="77777777" w:rsidR="002E5EB3" w:rsidRDefault="00000000">
      <w:pPr>
        <w:spacing w:before="120" w:after="40"/>
        <w:jc w:val="both"/>
      </w:pPr>
      <w:r>
        <w:rPr>
          <w:b/>
          <w:bCs/>
          <w:sz w:val="28"/>
          <w:szCs w:val="28"/>
        </w:rPr>
        <w:t>貳、文獻回顧</w:t>
      </w:r>
    </w:p>
    <w:p w14:paraId="4832D525" w14:textId="77777777" w:rsidR="002E5EB3" w:rsidRDefault="00000000">
      <w:pPr>
        <w:spacing w:before="120" w:after="40"/>
        <w:jc w:val="both"/>
      </w:pPr>
      <w:r>
        <w:rPr>
          <w:b/>
          <w:bCs/>
          <w:sz w:val="28"/>
          <w:szCs w:val="28"/>
        </w:rPr>
        <w:t>一、</w:t>
      </w:r>
      <w:proofErr w:type="gramStart"/>
      <w:r>
        <w:rPr>
          <w:b/>
          <w:bCs/>
          <w:sz w:val="28"/>
          <w:szCs w:val="28"/>
        </w:rPr>
        <w:t>短影音</w:t>
      </w:r>
      <w:proofErr w:type="gramEnd"/>
      <w:r>
        <w:rPr>
          <w:b/>
          <w:bCs/>
          <w:sz w:val="28"/>
          <w:szCs w:val="28"/>
        </w:rPr>
        <w:t>與微學習在教育中的應用</w:t>
      </w:r>
    </w:p>
    <w:p w14:paraId="6127C7B4" w14:textId="77777777" w:rsidR="002E5EB3" w:rsidRDefault="00000000">
      <w:pPr>
        <w:ind w:firstLine="480"/>
        <w:jc w:val="both"/>
      </w:pPr>
      <w:r>
        <w:t>微學習（</w:t>
      </w:r>
      <w:r>
        <w:t>microlearning</w:t>
      </w:r>
      <w:r>
        <w:t>）強調將知識切分為短時間、明確目標、易於吸收的內容單元，常見形式包括短文、測驗、音訊與短影片。相關研究指出，微學習有助於提升學習動機、參與度與內容可近性，尤其適合行動裝置與零碎時間下的學習場景</w:t>
      </w:r>
      <w:proofErr w:type="gramStart"/>
      <w:r>
        <w:t>（</w:t>
      </w:r>
      <w:proofErr w:type="gramEnd"/>
      <w:r>
        <w:t xml:space="preserve">McNeill &amp; Fitch, 2023; </w:t>
      </w:r>
      <w:proofErr w:type="spellStart"/>
      <w:r>
        <w:t>Zarshenas</w:t>
      </w:r>
      <w:proofErr w:type="spellEnd"/>
      <w:r>
        <w:t xml:space="preserve"> et al., 2022</w:t>
      </w:r>
      <w:r>
        <w:t>）。在社群媒體與短影音平台普及後，微學習與短影片的結合更受到高等教育領域關注。</w:t>
      </w:r>
    </w:p>
    <w:p w14:paraId="4E25275F" w14:textId="77777777" w:rsidR="002E5EB3" w:rsidRDefault="00000000">
      <w:pPr>
        <w:ind w:firstLine="480"/>
        <w:jc w:val="both"/>
      </w:pPr>
      <w:r>
        <w:t xml:space="preserve">Conde-Caballero </w:t>
      </w:r>
      <w:r>
        <w:t>等人（</w:t>
      </w:r>
      <w:r>
        <w:t>2024</w:t>
      </w:r>
      <w:r>
        <w:t>）針對</w:t>
      </w:r>
      <w:r>
        <w:t xml:space="preserve"> TikTok </w:t>
      </w:r>
      <w:r>
        <w:t>於高等教育中的應用進行評估，</w:t>
      </w:r>
      <w:proofErr w:type="gramStart"/>
      <w:r>
        <w:t>指出短影音</w:t>
      </w:r>
      <w:proofErr w:type="gramEnd"/>
      <w:r>
        <w:t>具備快速傳播、強化情境化呈現與提高學習興趣之潛力；</w:t>
      </w:r>
      <w:proofErr w:type="spellStart"/>
      <w:r>
        <w:t>Denojean-Mairet</w:t>
      </w:r>
      <w:proofErr w:type="spellEnd"/>
      <w:r>
        <w:t xml:space="preserve"> </w:t>
      </w:r>
      <w:r>
        <w:t>等人（</w:t>
      </w:r>
      <w:r>
        <w:t>2024</w:t>
      </w:r>
      <w:r>
        <w:t>）亦在文獻回顧中指出，微學習與社群媒體整合後，對學習觸及率與互動參與具有正向價值。然而，既有研究也提醒，</w:t>
      </w:r>
      <w:proofErr w:type="gramStart"/>
      <w:r>
        <w:t>短影音</w:t>
      </w:r>
      <w:proofErr w:type="gramEnd"/>
      <w:r>
        <w:t>學習可能造成理解深度不足、注意力偏移與成效衡量困難等限制。因此，若欲</w:t>
      </w:r>
      <w:proofErr w:type="gramStart"/>
      <w:r>
        <w:t>將短影音</w:t>
      </w:r>
      <w:proofErr w:type="gramEnd"/>
      <w:r>
        <w:t>形式導入教育場景，仍需設計與原始教材之連結機制，以避免內容只剩「</w:t>
      </w:r>
      <w:proofErr w:type="gramStart"/>
      <w:r>
        <w:t>易看</w:t>
      </w:r>
      <w:proofErr w:type="gramEnd"/>
      <w:r>
        <w:t>」卻失去「可學」。</w:t>
      </w:r>
    </w:p>
    <w:p w14:paraId="02643F55" w14:textId="77777777" w:rsidR="002E5EB3" w:rsidRDefault="00000000">
      <w:pPr>
        <w:spacing w:before="120" w:after="40"/>
        <w:jc w:val="both"/>
      </w:pPr>
      <w:r>
        <w:rPr>
          <w:b/>
          <w:bCs/>
          <w:sz w:val="28"/>
          <w:szCs w:val="28"/>
        </w:rPr>
        <w:t>二、語音轉文字與視覺描述技術</w:t>
      </w:r>
    </w:p>
    <w:p w14:paraId="5ADE4EDC" w14:textId="77777777" w:rsidR="002E5EB3" w:rsidRDefault="00000000">
      <w:pPr>
        <w:ind w:firstLine="480"/>
        <w:jc w:val="both"/>
      </w:pPr>
      <w:r>
        <w:t>語音轉文字是將長篇課程轉換為可分析知識單位的基礎。</w:t>
      </w:r>
      <w:r>
        <w:t xml:space="preserve">Whisper </w:t>
      </w:r>
      <w:r>
        <w:t>由</w:t>
      </w:r>
      <w:r>
        <w:t xml:space="preserve"> OpenAI </w:t>
      </w:r>
      <w:r>
        <w:t>提出，屬大型多語語音辨識系統，訓練於大規模多語與多任務監督資料，具備對口音、背景噪音與技術性語彙較高之</w:t>
      </w:r>
      <w:proofErr w:type="gramStart"/>
      <w:r>
        <w:t>魯棒性（</w:t>
      </w:r>
      <w:proofErr w:type="gramEnd"/>
      <w:r>
        <w:t>Radford et al., 2022</w:t>
      </w:r>
      <w:proofErr w:type="gramStart"/>
      <w:r>
        <w:t>）</w:t>
      </w:r>
      <w:proofErr w:type="gramEnd"/>
      <w:r>
        <w:t>。在本研究情境中，</w:t>
      </w:r>
      <w:r>
        <w:t xml:space="preserve">Whisper </w:t>
      </w:r>
      <w:r>
        <w:t>的價值不僅在於轉寫文字內容，更在於</w:t>
      </w:r>
      <w:proofErr w:type="gramStart"/>
      <w:r>
        <w:t>建立句段層級</w:t>
      </w:r>
      <w:proofErr w:type="gramEnd"/>
      <w:r>
        <w:t>時間軸，使後續的重點切片、字幕生成與原</w:t>
      </w:r>
      <w:proofErr w:type="gramStart"/>
      <w:r>
        <w:t>片回跳</w:t>
      </w:r>
      <w:proofErr w:type="gramEnd"/>
      <w:r>
        <w:t>可以建立對應基礎。</w:t>
      </w:r>
    </w:p>
    <w:p w14:paraId="1D84237F" w14:textId="77777777" w:rsidR="002E5EB3" w:rsidRDefault="00000000">
      <w:pPr>
        <w:ind w:firstLine="480"/>
        <w:jc w:val="both"/>
      </w:pPr>
      <w:r>
        <w:t>除了語音資訊，課堂內容亦高度依賴投影片、板書與畫面切換等視覺線索。</w:t>
      </w:r>
      <w:r>
        <w:t xml:space="preserve">BLIP-2 </w:t>
      </w:r>
      <w:r>
        <w:t>透過</w:t>
      </w:r>
      <w:r>
        <w:t xml:space="preserve"> Querying Transformer </w:t>
      </w:r>
      <w:r>
        <w:t>銜接凍結視覺編碼器與大型語言模型，在低訓練成本下達成良好的零樣本影像到文字生成能力</w:t>
      </w:r>
      <w:proofErr w:type="gramStart"/>
      <w:r>
        <w:t>（</w:t>
      </w:r>
      <w:proofErr w:type="gramEnd"/>
      <w:r>
        <w:t>Li et al., 2023</w:t>
      </w:r>
      <w:proofErr w:type="gramStart"/>
      <w:r>
        <w:t>）</w:t>
      </w:r>
      <w:proofErr w:type="gramEnd"/>
      <w:r>
        <w:t>。在此基礎上，</w:t>
      </w:r>
      <w:proofErr w:type="spellStart"/>
      <w:r>
        <w:t>InstructBLIP</w:t>
      </w:r>
      <w:proofErr w:type="spellEnd"/>
      <w:r>
        <w:t xml:space="preserve"> </w:t>
      </w:r>
      <w:r>
        <w:t>進一步引入</w:t>
      </w:r>
      <w:r>
        <w:t xml:space="preserve"> instruction-aware </w:t>
      </w:r>
      <w:r>
        <w:t>視覺特徵萃取，使模型能依據任務指令抽取較具針對性的多模態資訊</w:t>
      </w:r>
      <w:proofErr w:type="gramStart"/>
      <w:r>
        <w:t>（</w:t>
      </w:r>
      <w:proofErr w:type="gramEnd"/>
      <w:r>
        <w:t>Dai et al., 2023</w:t>
      </w:r>
      <w:proofErr w:type="gramStart"/>
      <w:r>
        <w:t>）</w:t>
      </w:r>
      <w:proofErr w:type="gramEnd"/>
      <w:r>
        <w:t>。</w:t>
      </w:r>
      <w:r>
        <w:t xml:space="preserve">Hugging Face Transformers </w:t>
      </w:r>
      <w:r>
        <w:t>提供之</w:t>
      </w:r>
      <w:r>
        <w:t xml:space="preserve"> </w:t>
      </w:r>
      <w:proofErr w:type="spellStart"/>
      <w:r>
        <w:t>InstructBlipVideo</w:t>
      </w:r>
      <w:proofErr w:type="spellEnd"/>
      <w:r>
        <w:t xml:space="preserve"> </w:t>
      </w:r>
      <w:r>
        <w:t>則將該能力延伸至影片處理，使系統可針對影片</w:t>
      </w:r>
      <w:proofErr w:type="gramStart"/>
      <w:r>
        <w:t>幀</w:t>
      </w:r>
      <w:proofErr w:type="gramEnd"/>
      <w:r>
        <w:t>序列產生更貼近教學需求的畫面描述，適合作為課程視覺脈絡擷取工具。</w:t>
      </w:r>
    </w:p>
    <w:p w14:paraId="715273E2" w14:textId="77777777" w:rsidR="002E5EB3" w:rsidRDefault="00000000">
      <w:pPr>
        <w:spacing w:before="120" w:after="40"/>
        <w:jc w:val="both"/>
      </w:pPr>
      <w:r>
        <w:rPr>
          <w:b/>
          <w:bCs/>
          <w:sz w:val="28"/>
          <w:szCs w:val="28"/>
        </w:rPr>
        <w:t>三、</w:t>
      </w:r>
      <w:r>
        <w:rPr>
          <w:b/>
          <w:bCs/>
          <w:sz w:val="28"/>
          <w:szCs w:val="28"/>
        </w:rPr>
        <w:t xml:space="preserve">AI </w:t>
      </w:r>
      <w:r>
        <w:rPr>
          <w:b/>
          <w:bCs/>
          <w:sz w:val="28"/>
          <w:szCs w:val="28"/>
        </w:rPr>
        <w:t>教育工具與永續發展觀點</w:t>
      </w:r>
    </w:p>
    <w:p w14:paraId="0334A083" w14:textId="77777777" w:rsidR="002E5EB3" w:rsidRDefault="00000000">
      <w:pPr>
        <w:ind w:firstLine="480"/>
        <w:jc w:val="both"/>
      </w:pPr>
      <w:r>
        <w:lastRenderedPageBreak/>
        <w:t xml:space="preserve">AI </w:t>
      </w:r>
      <w:r>
        <w:t>教育工具的價值，不僅在於「替教師省時」，更在於能否提升教育可得性與學習品質。</w:t>
      </w:r>
      <w:r>
        <w:t>UNESCO</w:t>
      </w:r>
      <w:r>
        <w:t>（</w:t>
      </w:r>
      <w:r>
        <w:t>2021</w:t>
      </w:r>
      <w:r>
        <w:t>）指出，</w:t>
      </w:r>
      <w:r>
        <w:t xml:space="preserve">AI </w:t>
      </w:r>
      <w:r>
        <w:t>在教育中的核心潛力包括促進學習支持、改善教學資源供給與強化包容性；但</w:t>
      </w:r>
      <w:r>
        <w:t xml:space="preserve"> UNESCO</w:t>
      </w:r>
      <w:r>
        <w:t>（</w:t>
      </w:r>
      <w:r>
        <w:t>2023</w:t>
      </w:r>
      <w:r>
        <w:t>）也提醒，生成式</w:t>
      </w:r>
      <w:r>
        <w:t xml:space="preserve"> AI </w:t>
      </w:r>
      <w:r>
        <w:t>進入教育</w:t>
      </w:r>
      <w:proofErr w:type="gramStart"/>
      <w:r>
        <w:t>場域後</w:t>
      </w:r>
      <w:proofErr w:type="gramEnd"/>
      <w:r>
        <w:t>，資料保護、年齡適切性、內容正確性、透明揭露與制度治理都成為不可忽視的議題。換言之，</w:t>
      </w:r>
      <w:r>
        <w:t xml:space="preserve">AI </w:t>
      </w:r>
      <w:r>
        <w:t>教育工具若要具備永續管理價值，必須同時兼顧創新效益與治理責任。</w:t>
      </w:r>
    </w:p>
    <w:p w14:paraId="14FE7B5D" w14:textId="77777777" w:rsidR="002E5EB3" w:rsidRDefault="00000000">
      <w:pPr>
        <w:ind w:firstLine="480"/>
        <w:jc w:val="both"/>
      </w:pPr>
      <w:r>
        <w:t>就</w:t>
      </w:r>
      <w:r>
        <w:t xml:space="preserve"> ESG </w:t>
      </w:r>
      <w:r>
        <w:t>架構而言，本研究主題與</w:t>
      </w:r>
      <w:r>
        <w:t xml:space="preserve"> S</w:t>
      </w:r>
      <w:r>
        <w:t>（</w:t>
      </w:r>
      <w:r>
        <w:t>Social</w:t>
      </w:r>
      <w:r>
        <w:t>）構面關聯最為直接，因其關注的是如何透過科技降低學習門檻、擴大資源觸及與改善教育機會不均；同時，本平台亦牽涉</w:t>
      </w:r>
      <w:r>
        <w:t xml:space="preserve"> G</w:t>
      </w:r>
      <w:r>
        <w:t>（</w:t>
      </w:r>
      <w:r>
        <w:t>Governance</w:t>
      </w:r>
      <w:r>
        <w:t>）構面的制度面要求，包括資料來源合法性、生成內容標示、著作授權與風險管理。故本文將系統設計與</w:t>
      </w:r>
      <w:r>
        <w:t xml:space="preserve"> ESG </w:t>
      </w:r>
      <w:r>
        <w:t>論述結合，嘗試使技術方案不只是一項產品功能，而是一種具社會責任意識的教育服務設計。</w:t>
      </w:r>
    </w:p>
    <w:p w14:paraId="01CF53FE" w14:textId="77777777" w:rsidR="002E5EB3" w:rsidRDefault="00000000">
      <w:pPr>
        <w:spacing w:before="120" w:after="40"/>
        <w:jc w:val="both"/>
      </w:pPr>
      <w:r>
        <w:rPr>
          <w:b/>
          <w:bCs/>
          <w:sz w:val="28"/>
          <w:szCs w:val="28"/>
        </w:rPr>
        <w:t>參、系統設計與方法</w:t>
      </w:r>
    </w:p>
    <w:p w14:paraId="09D5DA0B" w14:textId="77777777" w:rsidR="002E5EB3" w:rsidRDefault="00000000">
      <w:pPr>
        <w:spacing w:before="120" w:after="40"/>
        <w:jc w:val="both"/>
      </w:pPr>
      <w:r>
        <w:rPr>
          <w:b/>
          <w:bCs/>
          <w:sz w:val="28"/>
          <w:szCs w:val="28"/>
        </w:rPr>
        <w:t>一、整體流程設計</w:t>
      </w:r>
    </w:p>
    <w:p w14:paraId="6C1A9643" w14:textId="77777777" w:rsidR="002E5EB3" w:rsidRDefault="00000000">
      <w:pPr>
        <w:ind w:firstLine="480"/>
        <w:jc w:val="both"/>
      </w:pPr>
      <w:r>
        <w:t>本研究所提出之平台，定位為「長課程內容自動</w:t>
      </w:r>
      <w:proofErr w:type="gramStart"/>
      <w:r>
        <w:t>轉製為可刷式短影</w:t>
      </w:r>
      <w:proofErr w:type="gramEnd"/>
      <w:r>
        <w:t>音學習單元」之智慧服務。系統輸入可為教師之一小時課程錄音，亦可搭配原始課程影片、投影片畫面或公開課程影像。系統處理後，輸出為</w:t>
      </w:r>
      <w:r>
        <w:t xml:space="preserve"> 5 </w:t>
      </w:r>
      <w:r>
        <w:t>至</w:t>
      </w:r>
      <w:r>
        <w:t xml:space="preserve"> 10 </w:t>
      </w:r>
      <w:proofErr w:type="gramStart"/>
      <w:r>
        <w:t>段短影</w:t>
      </w:r>
      <w:proofErr w:type="gramEnd"/>
      <w:r>
        <w:t>音學習片段，</w:t>
      </w:r>
      <w:proofErr w:type="gramStart"/>
      <w:r>
        <w:t>每段皆包含</w:t>
      </w:r>
      <w:proofErr w:type="gramEnd"/>
      <w:r>
        <w:t>字幕、重點視覺輔助、背景音樂建議與回到原始課程片段的時間錨點。</w:t>
      </w:r>
    </w:p>
    <w:p w14:paraId="46F9107E" w14:textId="77777777" w:rsidR="002E5EB3" w:rsidRDefault="00000000">
      <w:pPr>
        <w:spacing w:before="40" w:after="20"/>
        <w:jc w:val="center"/>
      </w:pPr>
      <w:r>
        <w:rPr>
          <w:noProof/>
        </w:rPr>
        <w:drawing>
          <wp:inline distT="0" distB="0" distL="0" distR="0" wp14:anchorId="1278A532" wp14:editId="6ADD21B7">
            <wp:extent cx="4191000" cy="2286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191000" cy="2286000"/>
                    </a:xfrm>
                    <a:prstGeom prst="rect">
                      <a:avLst/>
                    </a:prstGeom>
                  </pic:spPr>
                </pic:pic>
              </a:graphicData>
            </a:graphic>
          </wp:inline>
        </w:drawing>
      </w:r>
    </w:p>
    <w:p w14:paraId="5BFA9547" w14:textId="77777777" w:rsidR="002E5EB3" w:rsidRDefault="00000000" w:rsidP="00565324">
      <w:pPr>
        <w:spacing w:after="40"/>
        <w:jc w:val="center"/>
      </w:pPr>
      <w:r>
        <w:t>圖</w:t>
      </w:r>
      <w:r>
        <w:t xml:space="preserve"> 1 </w:t>
      </w:r>
      <w:r>
        <w:t>整體流程圖</w:t>
      </w:r>
    </w:p>
    <w:p w14:paraId="373DA706" w14:textId="77777777" w:rsidR="002E5EB3" w:rsidRDefault="00000000">
      <w:pPr>
        <w:spacing w:before="120" w:after="40"/>
        <w:jc w:val="both"/>
      </w:pPr>
      <w:r>
        <w:rPr>
          <w:b/>
          <w:bCs/>
          <w:sz w:val="28"/>
          <w:szCs w:val="28"/>
        </w:rPr>
        <w:t>二、核心模組說明</w:t>
      </w:r>
    </w:p>
    <w:p w14:paraId="533D700A" w14:textId="77777777" w:rsidR="002E5EB3" w:rsidRDefault="00000000">
      <w:pPr>
        <w:spacing w:before="120" w:after="40"/>
        <w:jc w:val="both"/>
      </w:pPr>
      <w:r>
        <w:rPr>
          <w:b/>
          <w:bCs/>
        </w:rPr>
        <w:t>（一）</w:t>
      </w:r>
      <w:r>
        <w:rPr>
          <w:b/>
          <w:bCs/>
        </w:rPr>
        <w:t xml:space="preserve">Whisper </w:t>
      </w:r>
      <w:r>
        <w:rPr>
          <w:b/>
          <w:bCs/>
        </w:rPr>
        <w:t>語音轉文字模組</w:t>
      </w:r>
    </w:p>
    <w:p w14:paraId="770007D2" w14:textId="77777777" w:rsidR="002E5EB3" w:rsidRDefault="00000000">
      <w:pPr>
        <w:ind w:firstLine="480"/>
        <w:jc w:val="both"/>
      </w:pPr>
      <w:r>
        <w:t>本模組負責將教師錄音或原始影片音軌轉為</w:t>
      </w:r>
      <w:proofErr w:type="gramStart"/>
      <w:r>
        <w:t>逐字稿</w:t>
      </w:r>
      <w:proofErr w:type="gramEnd"/>
      <w:r>
        <w:t>，並</w:t>
      </w:r>
      <w:proofErr w:type="gramStart"/>
      <w:r>
        <w:t>保留句段時間</w:t>
      </w:r>
      <w:proofErr w:type="gramEnd"/>
      <w:r>
        <w:t>資訊。此時間資訊一方面可</w:t>
      </w:r>
      <w:proofErr w:type="gramStart"/>
      <w:r>
        <w:t>作為短影音</w:t>
      </w:r>
      <w:proofErr w:type="gramEnd"/>
      <w:r>
        <w:t>字幕基礎，另一方面可協助系統將重點摘要、畫面輔助與原始影片位置進行對應。對課程內容而言，時間軸的可追溯性遠比單純文字摘要更重要，因為使用者</w:t>
      </w:r>
      <w:proofErr w:type="gramStart"/>
      <w:r>
        <w:t>在短影音</w:t>
      </w:r>
      <w:proofErr w:type="gramEnd"/>
      <w:r>
        <w:t>理解後，往往仍需回到原課程查閱完整上下文。</w:t>
      </w:r>
    </w:p>
    <w:p w14:paraId="5738FB79" w14:textId="77777777" w:rsidR="002E5EB3" w:rsidRDefault="00000000">
      <w:pPr>
        <w:spacing w:before="120" w:after="40"/>
        <w:jc w:val="both"/>
      </w:pPr>
      <w:r>
        <w:rPr>
          <w:b/>
          <w:bCs/>
        </w:rPr>
        <w:t>（二）</w:t>
      </w:r>
      <w:proofErr w:type="spellStart"/>
      <w:r>
        <w:rPr>
          <w:b/>
          <w:bCs/>
        </w:rPr>
        <w:t>InstructBlipVideo</w:t>
      </w:r>
      <w:proofErr w:type="spellEnd"/>
      <w:r>
        <w:rPr>
          <w:b/>
          <w:bCs/>
        </w:rPr>
        <w:t xml:space="preserve"> </w:t>
      </w:r>
      <w:r>
        <w:rPr>
          <w:b/>
          <w:bCs/>
        </w:rPr>
        <w:t>畫面語意描述模組</w:t>
      </w:r>
    </w:p>
    <w:p w14:paraId="40143849" w14:textId="77777777" w:rsidR="002E5EB3" w:rsidRDefault="00000000">
      <w:pPr>
        <w:ind w:firstLine="480"/>
        <w:jc w:val="both"/>
      </w:pPr>
      <w:r>
        <w:t>本模組用於辨識課程影片中的投影片重點、板書關鍵詞、示範畫面與場景切換。相較於僅使用影像型</w:t>
      </w:r>
      <w:r>
        <w:t xml:space="preserve"> BLIP-2 </w:t>
      </w:r>
      <w:r>
        <w:t>模型，本研究選擇</w:t>
      </w:r>
      <w:r>
        <w:t xml:space="preserve"> </w:t>
      </w:r>
      <w:proofErr w:type="spellStart"/>
      <w:r>
        <w:t>InstructBlipVideo</w:t>
      </w:r>
      <w:proofErr w:type="spellEnd"/>
      <w:r>
        <w:t xml:space="preserve"> </w:t>
      </w:r>
      <w:r>
        <w:t>之原因在於其可直接處理影片內容，並保有</w:t>
      </w:r>
      <w:r>
        <w:t xml:space="preserve"> </w:t>
      </w:r>
      <w:proofErr w:type="spellStart"/>
      <w:r>
        <w:t>InstructBLIP</w:t>
      </w:r>
      <w:proofErr w:type="spellEnd"/>
      <w:r>
        <w:t xml:space="preserve"> </w:t>
      </w:r>
      <w:r>
        <w:t>的指令導向特性。例如，系統可透過「請描述此片段中教學重點」、「請找出畫面中可作為對比圖卡的元素」等提示，使模型輸出更</w:t>
      </w:r>
      <w:proofErr w:type="gramStart"/>
      <w:r>
        <w:t>貼近短影音</w:t>
      </w:r>
      <w:proofErr w:type="gramEnd"/>
      <w:r>
        <w:t>製作需求之語意資訊。</w:t>
      </w:r>
    </w:p>
    <w:p w14:paraId="62C00E80" w14:textId="77777777" w:rsidR="002E5EB3" w:rsidRDefault="00000000">
      <w:pPr>
        <w:spacing w:before="120" w:after="40"/>
        <w:jc w:val="both"/>
      </w:pPr>
      <w:r>
        <w:rPr>
          <w:b/>
          <w:bCs/>
        </w:rPr>
        <w:lastRenderedPageBreak/>
        <w:t>（三）重點片段規劃模組</w:t>
      </w:r>
    </w:p>
    <w:p w14:paraId="7CF9375D" w14:textId="77777777" w:rsidR="002E5EB3" w:rsidRDefault="00000000">
      <w:pPr>
        <w:ind w:firstLine="480"/>
        <w:jc w:val="both"/>
      </w:pPr>
      <w:r>
        <w:t>本模組負責綜合</w:t>
      </w:r>
      <w:r>
        <w:t xml:space="preserve"> Whisper </w:t>
      </w:r>
      <w:proofErr w:type="gramStart"/>
      <w:r>
        <w:t>逐字稿</w:t>
      </w:r>
      <w:proofErr w:type="gramEnd"/>
      <w:r>
        <w:t>、時間戳記與</w:t>
      </w:r>
      <w:r>
        <w:t xml:space="preserve"> </w:t>
      </w:r>
      <w:proofErr w:type="spellStart"/>
      <w:r>
        <w:t>InstructBlipVideo</w:t>
      </w:r>
      <w:proofErr w:type="spellEnd"/>
      <w:r>
        <w:t xml:space="preserve"> </w:t>
      </w:r>
      <w:r>
        <w:t>之畫面描述，將長課程切分為</w:t>
      </w:r>
      <w:r>
        <w:t xml:space="preserve"> 5 </w:t>
      </w:r>
      <w:r>
        <w:t>至</w:t>
      </w:r>
      <w:r>
        <w:t xml:space="preserve"> 10 </w:t>
      </w:r>
      <w:proofErr w:type="gramStart"/>
      <w:r>
        <w:t>個</w:t>
      </w:r>
      <w:proofErr w:type="gramEnd"/>
      <w:r>
        <w:t>可獨立傳達重點之學習片段。規劃邏輯可包含主題轉折、重複強調、定義句、例題句、畫面切換與教學提示詞等訊號。其目標並非單純平均切片，而是建立</w:t>
      </w:r>
      <w:proofErr w:type="gramStart"/>
      <w:r>
        <w:t>符合短影音</w:t>
      </w:r>
      <w:proofErr w:type="gramEnd"/>
      <w:r>
        <w:t>節奏、但仍保有知識單元完整性的內容結構。</w:t>
      </w:r>
    </w:p>
    <w:p w14:paraId="7FCDD614" w14:textId="77777777" w:rsidR="002E5EB3" w:rsidRDefault="00000000">
      <w:pPr>
        <w:spacing w:before="120" w:after="40"/>
        <w:jc w:val="both"/>
      </w:pPr>
      <w:r>
        <w:rPr>
          <w:b/>
          <w:bCs/>
        </w:rPr>
        <w:t>（四）</w:t>
      </w:r>
      <w:r>
        <w:rPr>
          <w:b/>
          <w:bCs/>
        </w:rPr>
        <w:t xml:space="preserve">Sora </w:t>
      </w:r>
      <w:proofErr w:type="gramStart"/>
      <w:r>
        <w:rPr>
          <w:b/>
          <w:bCs/>
        </w:rPr>
        <w:t>短影音</w:t>
      </w:r>
      <w:proofErr w:type="gramEnd"/>
      <w:r>
        <w:rPr>
          <w:b/>
          <w:bCs/>
        </w:rPr>
        <w:t>生成與補強模組</w:t>
      </w:r>
    </w:p>
    <w:p w14:paraId="169AC1AB" w14:textId="77777777" w:rsidR="002E5EB3" w:rsidRDefault="00000000">
      <w:pPr>
        <w:ind w:firstLine="480"/>
        <w:jc w:val="both"/>
      </w:pPr>
      <w:r>
        <w:t>本模組負責將已規劃之重點內容重組</w:t>
      </w:r>
      <w:proofErr w:type="gramStart"/>
      <w:r>
        <w:t>為短影音</w:t>
      </w:r>
      <w:proofErr w:type="gramEnd"/>
      <w:r>
        <w:t>表現形式。</w:t>
      </w:r>
      <w:r>
        <w:t xml:space="preserve">Sora </w:t>
      </w:r>
      <w:r>
        <w:t>可依據文字提示與參考影像生成具敘事節奏之影片內容，適合作為片頭引導、重點圖卡、過場鏡頭與補充視覺輔助之生成引擎。本文所規劃之使用方式並非取代原始教師影像，而是將其作為教學重點的視覺補強工具，以降低不必要的人物擬真風險與著作權爭議。</w:t>
      </w:r>
    </w:p>
    <w:p w14:paraId="4A046F19" w14:textId="77777777" w:rsidR="002E5EB3" w:rsidRDefault="00000000">
      <w:pPr>
        <w:spacing w:before="120" w:after="40"/>
        <w:jc w:val="both"/>
      </w:pPr>
      <w:r>
        <w:rPr>
          <w:b/>
          <w:bCs/>
        </w:rPr>
        <w:t>（五）</w:t>
      </w:r>
      <w:r>
        <w:rPr>
          <w:b/>
          <w:bCs/>
        </w:rPr>
        <w:t xml:space="preserve">App </w:t>
      </w:r>
      <w:r>
        <w:rPr>
          <w:b/>
          <w:bCs/>
        </w:rPr>
        <w:t>學習互動模組</w:t>
      </w:r>
    </w:p>
    <w:p w14:paraId="2726F1D8" w14:textId="4CF6EB82" w:rsidR="002E5EB3" w:rsidRDefault="00000000">
      <w:pPr>
        <w:ind w:firstLine="480"/>
        <w:jc w:val="both"/>
      </w:pPr>
      <w:r>
        <w:t>本模組提供使用者以</w:t>
      </w:r>
      <w:proofErr w:type="gramStart"/>
      <w:r>
        <w:t>類短影</w:t>
      </w:r>
      <w:proofErr w:type="gramEnd"/>
      <w:r>
        <w:t>音滑動方式瀏覽學習片段，並支援依主題標籤或複習需求篩選內容。當使用者對某段精華產生進一步理解需求時，可點擊「回看原課程」按鈕，</w:t>
      </w:r>
      <w:proofErr w:type="gramStart"/>
      <w:r>
        <w:t>直接跳轉至</w:t>
      </w:r>
      <w:proofErr w:type="gramEnd"/>
      <w:r>
        <w:t>原始影片對應時間點，兼顧快速吸收與深度回溯兩種學習模式。</w:t>
      </w:r>
    </w:p>
    <w:p w14:paraId="1C18A431" w14:textId="77777777" w:rsidR="002E5EB3" w:rsidRDefault="00000000">
      <w:pPr>
        <w:spacing w:before="40" w:after="20"/>
        <w:jc w:val="center"/>
      </w:pPr>
      <w:r>
        <w:rPr>
          <w:noProof/>
        </w:rPr>
        <w:drawing>
          <wp:inline distT="0" distB="0" distL="0" distR="0" wp14:anchorId="1D5D29FD" wp14:editId="535C043B">
            <wp:extent cx="5905500" cy="3221181"/>
            <wp:effectExtent l="0" t="0" r="0" b="0"/>
            <wp:docPr id="1689732501" name="圖片 168973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2501" name="圖片 168973250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05500" cy="3221181"/>
                    </a:xfrm>
                    <a:prstGeom prst="rect">
                      <a:avLst/>
                    </a:prstGeom>
                  </pic:spPr>
                </pic:pic>
              </a:graphicData>
            </a:graphic>
          </wp:inline>
        </w:drawing>
      </w:r>
    </w:p>
    <w:p w14:paraId="785FB288" w14:textId="77777777" w:rsidR="002E5EB3" w:rsidRDefault="00000000" w:rsidP="00565324">
      <w:pPr>
        <w:spacing w:after="40"/>
        <w:jc w:val="center"/>
      </w:pPr>
      <w:r>
        <w:t>圖</w:t>
      </w:r>
      <w:r>
        <w:t xml:space="preserve"> 2 </w:t>
      </w:r>
      <w:r>
        <w:t>系統架構圖</w:t>
      </w:r>
    </w:p>
    <w:p w14:paraId="0A50F73B" w14:textId="77777777" w:rsidR="002E5EB3" w:rsidRDefault="00000000">
      <w:pPr>
        <w:spacing w:before="40" w:after="20"/>
        <w:jc w:val="center"/>
      </w:pPr>
      <w:r>
        <w:rPr>
          <w:noProof/>
        </w:rPr>
        <w:lastRenderedPageBreak/>
        <w:drawing>
          <wp:inline distT="0" distB="0" distL="0" distR="0" wp14:anchorId="6BAA07F9" wp14:editId="3B41EAE5">
            <wp:extent cx="4659841" cy="3238500"/>
            <wp:effectExtent l="0" t="0" r="7620" b="0"/>
            <wp:docPr id="470123642" name="圖片 47012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642" name="圖片 47012364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659841" cy="3238500"/>
                    </a:xfrm>
                    <a:prstGeom prst="rect">
                      <a:avLst/>
                    </a:prstGeom>
                  </pic:spPr>
                </pic:pic>
              </a:graphicData>
            </a:graphic>
          </wp:inline>
        </w:drawing>
      </w:r>
    </w:p>
    <w:p w14:paraId="5F295498" w14:textId="77777777" w:rsidR="002E5EB3" w:rsidRDefault="00000000" w:rsidP="00565324">
      <w:pPr>
        <w:spacing w:after="40"/>
        <w:jc w:val="center"/>
      </w:pPr>
      <w:r>
        <w:t>圖</w:t>
      </w:r>
      <w:r>
        <w:t xml:space="preserve"> 4 App </w:t>
      </w:r>
      <w:r>
        <w:t>學習介面示意圖</w:t>
      </w:r>
    </w:p>
    <w:p w14:paraId="4F9F33F8" w14:textId="77777777" w:rsidR="002E5EB3" w:rsidRDefault="00000000">
      <w:pPr>
        <w:spacing w:before="120" w:after="40"/>
        <w:jc w:val="both"/>
      </w:pPr>
      <w:r>
        <w:rPr>
          <w:b/>
          <w:bCs/>
          <w:sz w:val="28"/>
          <w:szCs w:val="28"/>
        </w:rPr>
        <w:t>三、</w:t>
      </w:r>
      <w:r>
        <w:rPr>
          <w:b/>
          <w:bCs/>
          <w:sz w:val="28"/>
          <w:szCs w:val="28"/>
        </w:rPr>
        <w:t xml:space="preserve">BLIP </w:t>
      </w:r>
      <w:r>
        <w:rPr>
          <w:b/>
          <w:bCs/>
          <w:sz w:val="28"/>
          <w:szCs w:val="28"/>
        </w:rPr>
        <w:t>路線工具選型</w:t>
      </w:r>
    </w:p>
    <w:p w14:paraId="29998863" w14:textId="77777777" w:rsidR="002E5EB3" w:rsidRDefault="00000000">
      <w:pPr>
        <w:ind w:firstLine="480"/>
        <w:jc w:val="both"/>
      </w:pPr>
      <w:r>
        <w:t>針對畫面描述技術，本文最終採用</w:t>
      </w:r>
      <w:r>
        <w:t xml:space="preserve"> Hugging Face Transformers </w:t>
      </w:r>
      <w:r>
        <w:t>提供之</w:t>
      </w:r>
      <w:r>
        <w:t xml:space="preserve"> </w:t>
      </w:r>
      <w:proofErr w:type="spellStart"/>
      <w:r>
        <w:t>InstructBlipVideo</w:t>
      </w:r>
      <w:proofErr w:type="spellEnd"/>
      <w:r>
        <w:t xml:space="preserve"> </w:t>
      </w:r>
      <w:r>
        <w:t>作為實作工具，而非僅使用</w:t>
      </w:r>
      <w:r>
        <w:t xml:space="preserve"> BLIP-2 </w:t>
      </w:r>
      <w:r>
        <w:t>或直接以</w:t>
      </w:r>
      <w:r>
        <w:t xml:space="preserve"> LAVIS </w:t>
      </w:r>
      <w:r>
        <w:t>作為開發主體，理由如下。</w:t>
      </w:r>
    </w:p>
    <w:p w14:paraId="021208E6" w14:textId="77777777" w:rsidR="002E5EB3" w:rsidRDefault="00000000">
      <w:pPr>
        <w:ind w:left="360" w:hanging="240"/>
        <w:jc w:val="both"/>
      </w:pPr>
      <w:r>
        <w:t xml:space="preserve">1. BLIP-2 </w:t>
      </w:r>
      <w:r>
        <w:t>雖具優秀之零樣本影像文字生成能力，但原始設定偏重單張影像，較不適合作為長課程影片畫面脈絡理解之主工具。</w:t>
      </w:r>
    </w:p>
    <w:p w14:paraId="08EC053F" w14:textId="77777777" w:rsidR="002E5EB3" w:rsidRDefault="00000000">
      <w:pPr>
        <w:ind w:left="360" w:hanging="240"/>
        <w:jc w:val="both"/>
      </w:pPr>
      <w:r>
        <w:t xml:space="preserve">2. </w:t>
      </w:r>
      <w:proofErr w:type="spellStart"/>
      <w:r>
        <w:t>InstructBLIP</w:t>
      </w:r>
      <w:proofErr w:type="spellEnd"/>
      <w:r>
        <w:t xml:space="preserve"> </w:t>
      </w:r>
      <w:r>
        <w:t>在</w:t>
      </w:r>
      <w:r>
        <w:t xml:space="preserve"> BLIP-2 </w:t>
      </w:r>
      <w:r>
        <w:t>基礎上加入指令導向機制，可</w:t>
      </w:r>
      <w:proofErr w:type="gramStart"/>
      <w:r>
        <w:t>依短影</w:t>
      </w:r>
      <w:proofErr w:type="gramEnd"/>
      <w:r>
        <w:t>音製作需求抽取更具任務導向之視覺資訊。</w:t>
      </w:r>
    </w:p>
    <w:p w14:paraId="61920360" w14:textId="77777777" w:rsidR="002E5EB3" w:rsidRDefault="00000000">
      <w:pPr>
        <w:ind w:left="360" w:hanging="240"/>
        <w:jc w:val="both"/>
      </w:pPr>
      <w:r>
        <w:t xml:space="preserve">3. </w:t>
      </w:r>
      <w:proofErr w:type="spellStart"/>
      <w:r>
        <w:t>InstructBlipVideo</w:t>
      </w:r>
      <w:proofErr w:type="spellEnd"/>
      <w:r>
        <w:t xml:space="preserve"> </w:t>
      </w:r>
      <w:r>
        <w:t>可直接處理影片</w:t>
      </w:r>
      <w:proofErr w:type="gramStart"/>
      <w:r>
        <w:t>幀</w:t>
      </w:r>
      <w:proofErr w:type="gramEnd"/>
      <w:r>
        <w:t>序列，且與</w:t>
      </w:r>
      <w:r>
        <w:t xml:space="preserve"> </w:t>
      </w:r>
      <w:proofErr w:type="spellStart"/>
      <w:r>
        <w:t>InstructBLIP</w:t>
      </w:r>
      <w:proofErr w:type="spellEnd"/>
      <w:r>
        <w:t xml:space="preserve"> </w:t>
      </w:r>
      <w:r>
        <w:t>共享架構與</w:t>
      </w:r>
      <w:r>
        <w:t xml:space="preserve"> checkpoint </w:t>
      </w:r>
      <w:r>
        <w:t>邏輯，較適合課程影片之應用情境。</w:t>
      </w:r>
    </w:p>
    <w:p w14:paraId="39986144" w14:textId="77777777" w:rsidR="002E5EB3" w:rsidRDefault="00000000">
      <w:pPr>
        <w:ind w:left="360" w:hanging="240"/>
        <w:jc w:val="both"/>
      </w:pPr>
      <w:r>
        <w:t xml:space="preserve">4. </w:t>
      </w:r>
      <w:r>
        <w:t>若僅採用研究型</w:t>
      </w:r>
      <w:r>
        <w:t xml:space="preserve"> LAVIS</w:t>
      </w:r>
      <w:r>
        <w:t>，雖具研究彈性，但在工程整合層面相對需要更多自訂處理；</w:t>
      </w:r>
      <w:r>
        <w:t xml:space="preserve">Transformers </w:t>
      </w:r>
      <w:r>
        <w:t>版本則較利於與</w:t>
      </w:r>
      <w:r>
        <w:t xml:space="preserve"> Whisper</w:t>
      </w:r>
      <w:r>
        <w:t>、</w:t>
      </w:r>
      <w:r>
        <w:t xml:space="preserve">Sora </w:t>
      </w:r>
      <w:r>
        <w:t>及既有</w:t>
      </w:r>
      <w:r>
        <w:t xml:space="preserve"> Python/HTTP </w:t>
      </w:r>
      <w:r>
        <w:t>服務串接。</w:t>
      </w:r>
    </w:p>
    <w:p w14:paraId="25D851BC" w14:textId="77777777" w:rsidR="002E5EB3" w:rsidRDefault="00000000">
      <w:pPr>
        <w:ind w:firstLine="480"/>
        <w:jc w:val="both"/>
      </w:pPr>
      <w:r>
        <w:t>表</w:t>
      </w:r>
      <w:r>
        <w:t xml:space="preserve"> 1 </w:t>
      </w:r>
      <w:r>
        <w:t>為本研究之技術選型整理。</w:t>
      </w:r>
    </w:p>
    <w:p w14:paraId="76C45F94" w14:textId="77777777" w:rsidR="002E5EB3" w:rsidRDefault="00000000">
      <w:pPr>
        <w:spacing w:before="40" w:after="20"/>
      </w:pPr>
      <w:r>
        <w:t>表</w:t>
      </w:r>
      <w:r>
        <w:t xml:space="preserve"> 1 </w:t>
      </w:r>
      <w:r>
        <w:t>技術選型與功能定位表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1754"/>
        <w:gridCol w:w="2072"/>
        <w:gridCol w:w="1941"/>
        <w:gridCol w:w="2596"/>
      </w:tblGrid>
      <w:tr w:rsidR="002E5EB3" w14:paraId="2236A5B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66939924" w14:textId="77777777" w:rsidR="002E5EB3" w:rsidRDefault="00000000">
            <w:pPr>
              <w:spacing w:before="40" w:after="40"/>
              <w:jc w:val="center"/>
            </w:pPr>
            <w:r>
              <w:rPr>
                <w:b/>
                <w:bCs/>
              </w:rPr>
              <w:t>模組</w:t>
            </w:r>
          </w:p>
        </w:tc>
        <w:tc>
          <w:tcPr>
            <w:tcW w:w="0" w:type="auto"/>
            <w:tcBorders>
              <w:top w:val="single" w:sz="4" w:space="0" w:color="000000"/>
              <w:left w:val="single" w:sz="4" w:space="0" w:color="000000"/>
              <w:bottom w:val="single" w:sz="4" w:space="0" w:color="000000"/>
              <w:right w:val="single" w:sz="4" w:space="0" w:color="000000"/>
            </w:tcBorders>
          </w:tcPr>
          <w:p w14:paraId="4766D4F7" w14:textId="77777777" w:rsidR="002E5EB3" w:rsidRDefault="00000000">
            <w:pPr>
              <w:spacing w:before="40" w:after="40"/>
              <w:jc w:val="center"/>
            </w:pPr>
            <w:r>
              <w:rPr>
                <w:b/>
                <w:bCs/>
              </w:rPr>
              <w:t>採用工具</w:t>
            </w:r>
          </w:p>
        </w:tc>
        <w:tc>
          <w:tcPr>
            <w:tcW w:w="0" w:type="auto"/>
            <w:tcBorders>
              <w:top w:val="single" w:sz="4" w:space="0" w:color="000000"/>
              <w:left w:val="single" w:sz="4" w:space="0" w:color="000000"/>
              <w:bottom w:val="single" w:sz="4" w:space="0" w:color="000000"/>
              <w:right w:val="single" w:sz="4" w:space="0" w:color="000000"/>
            </w:tcBorders>
          </w:tcPr>
          <w:p w14:paraId="4F04EE3B" w14:textId="77777777" w:rsidR="002E5EB3" w:rsidRDefault="00000000">
            <w:pPr>
              <w:spacing w:before="40" w:after="40"/>
              <w:jc w:val="center"/>
            </w:pPr>
            <w:r>
              <w:rPr>
                <w:b/>
                <w:bCs/>
              </w:rPr>
              <w:t>主要輸入</w:t>
            </w:r>
          </w:p>
        </w:tc>
        <w:tc>
          <w:tcPr>
            <w:tcW w:w="0" w:type="auto"/>
            <w:tcBorders>
              <w:top w:val="single" w:sz="4" w:space="0" w:color="000000"/>
              <w:left w:val="single" w:sz="4" w:space="0" w:color="000000"/>
              <w:bottom w:val="single" w:sz="4" w:space="0" w:color="000000"/>
              <w:right w:val="single" w:sz="4" w:space="0" w:color="000000"/>
            </w:tcBorders>
          </w:tcPr>
          <w:p w14:paraId="0B3439DC" w14:textId="77777777" w:rsidR="002E5EB3" w:rsidRDefault="00000000">
            <w:pPr>
              <w:spacing w:before="40" w:after="40"/>
              <w:jc w:val="center"/>
            </w:pPr>
            <w:r>
              <w:rPr>
                <w:b/>
                <w:bCs/>
              </w:rPr>
              <w:t>主要輸出</w:t>
            </w:r>
          </w:p>
        </w:tc>
        <w:tc>
          <w:tcPr>
            <w:tcW w:w="0" w:type="auto"/>
            <w:tcBorders>
              <w:top w:val="single" w:sz="4" w:space="0" w:color="000000"/>
              <w:left w:val="single" w:sz="4" w:space="0" w:color="000000"/>
              <w:bottom w:val="single" w:sz="4" w:space="0" w:color="000000"/>
              <w:right w:val="single" w:sz="4" w:space="0" w:color="000000"/>
            </w:tcBorders>
          </w:tcPr>
          <w:p w14:paraId="6D9C5A07" w14:textId="77777777" w:rsidR="002E5EB3" w:rsidRDefault="00000000">
            <w:pPr>
              <w:spacing w:before="40" w:after="40"/>
              <w:jc w:val="center"/>
            </w:pPr>
            <w:r>
              <w:rPr>
                <w:b/>
                <w:bCs/>
              </w:rPr>
              <w:t>在本研究中的角色</w:t>
            </w:r>
          </w:p>
        </w:tc>
      </w:tr>
      <w:tr w:rsidR="002E5EB3" w14:paraId="7EB5683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25806255" w14:textId="77777777" w:rsidR="002E5EB3" w:rsidRDefault="00000000">
            <w:pPr>
              <w:spacing w:before="40" w:after="40"/>
            </w:pPr>
            <w:r>
              <w:t>語音理解</w:t>
            </w:r>
          </w:p>
        </w:tc>
        <w:tc>
          <w:tcPr>
            <w:tcW w:w="0" w:type="auto"/>
            <w:tcBorders>
              <w:top w:val="single" w:sz="4" w:space="0" w:color="000000"/>
              <w:left w:val="single" w:sz="4" w:space="0" w:color="000000"/>
              <w:bottom w:val="single" w:sz="4" w:space="0" w:color="000000"/>
              <w:right w:val="single" w:sz="4" w:space="0" w:color="000000"/>
            </w:tcBorders>
          </w:tcPr>
          <w:p w14:paraId="49490C3A" w14:textId="77777777" w:rsidR="002E5EB3" w:rsidRDefault="00000000">
            <w:pPr>
              <w:spacing w:before="40" w:after="40"/>
            </w:pPr>
            <w:r>
              <w:t>Whisper</w:t>
            </w:r>
          </w:p>
        </w:tc>
        <w:tc>
          <w:tcPr>
            <w:tcW w:w="0" w:type="auto"/>
            <w:tcBorders>
              <w:top w:val="single" w:sz="4" w:space="0" w:color="000000"/>
              <w:left w:val="single" w:sz="4" w:space="0" w:color="000000"/>
              <w:bottom w:val="single" w:sz="4" w:space="0" w:color="000000"/>
              <w:right w:val="single" w:sz="4" w:space="0" w:color="000000"/>
            </w:tcBorders>
          </w:tcPr>
          <w:p w14:paraId="1266F380" w14:textId="77777777" w:rsidR="002E5EB3" w:rsidRDefault="00000000">
            <w:pPr>
              <w:spacing w:before="40" w:after="40"/>
            </w:pPr>
            <w:r>
              <w:t>教師錄音、課程音軌</w:t>
            </w:r>
          </w:p>
        </w:tc>
        <w:tc>
          <w:tcPr>
            <w:tcW w:w="0" w:type="auto"/>
            <w:tcBorders>
              <w:top w:val="single" w:sz="4" w:space="0" w:color="000000"/>
              <w:left w:val="single" w:sz="4" w:space="0" w:color="000000"/>
              <w:bottom w:val="single" w:sz="4" w:space="0" w:color="000000"/>
              <w:right w:val="single" w:sz="4" w:space="0" w:color="000000"/>
            </w:tcBorders>
          </w:tcPr>
          <w:p w14:paraId="12983498" w14:textId="77777777" w:rsidR="002E5EB3" w:rsidRDefault="00000000">
            <w:pPr>
              <w:spacing w:before="40" w:after="40"/>
            </w:pPr>
            <w:proofErr w:type="gramStart"/>
            <w:r>
              <w:t>逐字稿</w:t>
            </w:r>
            <w:proofErr w:type="gramEnd"/>
            <w:r>
              <w:t>、時間戳記</w:t>
            </w:r>
          </w:p>
        </w:tc>
        <w:tc>
          <w:tcPr>
            <w:tcW w:w="0" w:type="auto"/>
            <w:tcBorders>
              <w:top w:val="single" w:sz="4" w:space="0" w:color="000000"/>
              <w:left w:val="single" w:sz="4" w:space="0" w:color="000000"/>
              <w:bottom w:val="single" w:sz="4" w:space="0" w:color="000000"/>
              <w:right w:val="single" w:sz="4" w:space="0" w:color="000000"/>
            </w:tcBorders>
          </w:tcPr>
          <w:p w14:paraId="74265C72" w14:textId="77777777" w:rsidR="002E5EB3" w:rsidRDefault="00000000">
            <w:pPr>
              <w:spacing w:before="40" w:after="40"/>
            </w:pPr>
            <w:r>
              <w:t>建立語意時間軸與字幕基礎</w:t>
            </w:r>
          </w:p>
        </w:tc>
      </w:tr>
      <w:tr w:rsidR="002E5EB3" w14:paraId="4E1C538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06BE7EA" w14:textId="77777777" w:rsidR="002E5EB3" w:rsidRDefault="00000000">
            <w:pPr>
              <w:spacing w:before="40" w:after="40"/>
            </w:pPr>
            <w:r>
              <w:t>畫面理解</w:t>
            </w:r>
          </w:p>
        </w:tc>
        <w:tc>
          <w:tcPr>
            <w:tcW w:w="0" w:type="auto"/>
            <w:tcBorders>
              <w:top w:val="single" w:sz="4" w:space="0" w:color="000000"/>
              <w:left w:val="single" w:sz="4" w:space="0" w:color="000000"/>
              <w:bottom w:val="single" w:sz="4" w:space="0" w:color="000000"/>
              <w:right w:val="single" w:sz="4" w:space="0" w:color="000000"/>
            </w:tcBorders>
          </w:tcPr>
          <w:p w14:paraId="16ACBF12" w14:textId="77777777" w:rsidR="002E5EB3" w:rsidRDefault="00000000">
            <w:pPr>
              <w:spacing w:before="40" w:after="40"/>
            </w:pPr>
            <w:proofErr w:type="spellStart"/>
            <w:r>
              <w:t>InstructBlipVideo</w:t>
            </w:r>
            <w:proofErr w:type="spellEnd"/>
          </w:p>
        </w:tc>
        <w:tc>
          <w:tcPr>
            <w:tcW w:w="0" w:type="auto"/>
            <w:tcBorders>
              <w:top w:val="single" w:sz="4" w:space="0" w:color="000000"/>
              <w:left w:val="single" w:sz="4" w:space="0" w:color="000000"/>
              <w:bottom w:val="single" w:sz="4" w:space="0" w:color="000000"/>
              <w:right w:val="single" w:sz="4" w:space="0" w:color="000000"/>
            </w:tcBorders>
          </w:tcPr>
          <w:p w14:paraId="7C2ADED1" w14:textId="77777777" w:rsidR="002E5EB3" w:rsidRDefault="00000000">
            <w:pPr>
              <w:spacing w:before="40" w:after="40"/>
            </w:pPr>
            <w:r>
              <w:t>課程影片</w:t>
            </w:r>
            <w:proofErr w:type="gramStart"/>
            <w:r>
              <w:t>幀</w:t>
            </w:r>
            <w:proofErr w:type="gramEnd"/>
            <w:r>
              <w:t>序列、提示語</w:t>
            </w:r>
          </w:p>
        </w:tc>
        <w:tc>
          <w:tcPr>
            <w:tcW w:w="0" w:type="auto"/>
            <w:tcBorders>
              <w:top w:val="single" w:sz="4" w:space="0" w:color="000000"/>
              <w:left w:val="single" w:sz="4" w:space="0" w:color="000000"/>
              <w:bottom w:val="single" w:sz="4" w:space="0" w:color="000000"/>
              <w:right w:val="single" w:sz="4" w:space="0" w:color="000000"/>
            </w:tcBorders>
          </w:tcPr>
          <w:p w14:paraId="13B2EA7F" w14:textId="77777777" w:rsidR="002E5EB3" w:rsidRDefault="00000000">
            <w:pPr>
              <w:spacing w:before="40" w:after="40"/>
            </w:pPr>
            <w:r>
              <w:t>畫面描述、重點視覺語意</w:t>
            </w:r>
          </w:p>
        </w:tc>
        <w:tc>
          <w:tcPr>
            <w:tcW w:w="0" w:type="auto"/>
            <w:tcBorders>
              <w:top w:val="single" w:sz="4" w:space="0" w:color="000000"/>
              <w:left w:val="single" w:sz="4" w:space="0" w:color="000000"/>
              <w:bottom w:val="single" w:sz="4" w:space="0" w:color="000000"/>
              <w:right w:val="single" w:sz="4" w:space="0" w:color="000000"/>
            </w:tcBorders>
          </w:tcPr>
          <w:p w14:paraId="51DAB346" w14:textId="77777777" w:rsidR="002E5EB3" w:rsidRDefault="00000000">
            <w:pPr>
              <w:spacing w:before="40" w:after="40"/>
            </w:pPr>
            <w:r>
              <w:t>擷取投影片、板書、情境切換等教學線索</w:t>
            </w:r>
          </w:p>
        </w:tc>
      </w:tr>
      <w:tr w:rsidR="002E5EB3" w14:paraId="0E71F6F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2FBE413C" w14:textId="77777777" w:rsidR="002E5EB3" w:rsidRDefault="00000000">
            <w:pPr>
              <w:spacing w:before="40" w:after="40"/>
            </w:pPr>
            <w:r>
              <w:t>內容生成</w:t>
            </w:r>
          </w:p>
        </w:tc>
        <w:tc>
          <w:tcPr>
            <w:tcW w:w="0" w:type="auto"/>
            <w:tcBorders>
              <w:top w:val="single" w:sz="4" w:space="0" w:color="000000"/>
              <w:left w:val="single" w:sz="4" w:space="0" w:color="000000"/>
              <w:bottom w:val="single" w:sz="4" w:space="0" w:color="000000"/>
              <w:right w:val="single" w:sz="4" w:space="0" w:color="000000"/>
            </w:tcBorders>
          </w:tcPr>
          <w:p w14:paraId="30D95BB0" w14:textId="77777777" w:rsidR="002E5EB3" w:rsidRDefault="00000000">
            <w:pPr>
              <w:spacing w:before="40" w:after="40"/>
            </w:pPr>
            <w:r>
              <w:t>Sora</w:t>
            </w:r>
          </w:p>
        </w:tc>
        <w:tc>
          <w:tcPr>
            <w:tcW w:w="0" w:type="auto"/>
            <w:tcBorders>
              <w:top w:val="single" w:sz="4" w:space="0" w:color="000000"/>
              <w:left w:val="single" w:sz="4" w:space="0" w:color="000000"/>
              <w:bottom w:val="single" w:sz="4" w:space="0" w:color="000000"/>
              <w:right w:val="single" w:sz="4" w:space="0" w:color="000000"/>
            </w:tcBorders>
          </w:tcPr>
          <w:p w14:paraId="1D9F2DF4" w14:textId="77777777" w:rsidR="002E5EB3" w:rsidRDefault="00000000">
            <w:pPr>
              <w:spacing w:before="40" w:after="40"/>
            </w:pPr>
            <w:r>
              <w:t>片段摘要、視覺提示、參考影像</w:t>
            </w:r>
          </w:p>
        </w:tc>
        <w:tc>
          <w:tcPr>
            <w:tcW w:w="0" w:type="auto"/>
            <w:tcBorders>
              <w:top w:val="single" w:sz="4" w:space="0" w:color="000000"/>
              <w:left w:val="single" w:sz="4" w:space="0" w:color="000000"/>
              <w:bottom w:val="single" w:sz="4" w:space="0" w:color="000000"/>
              <w:right w:val="single" w:sz="4" w:space="0" w:color="000000"/>
            </w:tcBorders>
          </w:tcPr>
          <w:p w14:paraId="7EB2BA43" w14:textId="77777777" w:rsidR="002E5EB3" w:rsidRDefault="00000000">
            <w:pPr>
              <w:spacing w:before="40" w:after="40"/>
            </w:pPr>
            <w:proofErr w:type="gramStart"/>
            <w:r>
              <w:t>短影音</w:t>
            </w:r>
            <w:proofErr w:type="gramEnd"/>
            <w:r>
              <w:t>畫面、過場與輔助視覺</w:t>
            </w:r>
          </w:p>
        </w:tc>
        <w:tc>
          <w:tcPr>
            <w:tcW w:w="0" w:type="auto"/>
            <w:tcBorders>
              <w:top w:val="single" w:sz="4" w:space="0" w:color="000000"/>
              <w:left w:val="single" w:sz="4" w:space="0" w:color="000000"/>
              <w:bottom w:val="single" w:sz="4" w:space="0" w:color="000000"/>
              <w:right w:val="single" w:sz="4" w:space="0" w:color="000000"/>
            </w:tcBorders>
          </w:tcPr>
          <w:p w14:paraId="29A08744" w14:textId="77777777" w:rsidR="002E5EB3" w:rsidRDefault="00000000">
            <w:pPr>
              <w:spacing w:before="40" w:after="40"/>
            </w:pPr>
            <w:r>
              <w:t>重組為具節奏感</w:t>
            </w:r>
            <w:proofErr w:type="gramStart"/>
            <w:r>
              <w:t>的短影音</w:t>
            </w:r>
            <w:proofErr w:type="gramEnd"/>
            <w:r>
              <w:t>學習內容</w:t>
            </w:r>
          </w:p>
        </w:tc>
      </w:tr>
      <w:tr w:rsidR="002E5EB3" w14:paraId="129CD3C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451C7BEF" w14:textId="77777777" w:rsidR="002E5EB3" w:rsidRDefault="00000000">
            <w:pPr>
              <w:spacing w:before="40" w:after="40"/>
            </w:pPr>
            <w:r>
              <w:t>前端學習</w:t>
            </w:r>
          </w:p>
        </w:tc>
        <w:tc>
          <w:tcPr>
            <w:tcW w:w="0" w:type="auto"/>
            <w:tcBorders>
              <w:top w:val="single" w:sz="4" w:space="0" w:color="000000"/>
              <w:left w:val="single" w:sz="4" w:space="0" w:color="000000"/>
              <w:bottom w:val="single" w:sz="4" w:space="0" w:color="000000"/>
              <w:right w:val="single" w:sz="4" w:space="0" w:color="000000"/>
            </w:tcBorders>
          </w:tcPr>
          <w:p w14:paraId="70CB529E" w14:textId="77777777" w:rsidR="002E5EB3" w:rsidRDefault="00000000">
            <w:pPr>
              <w:spacing w:before="40" w:after="40"/>
            </w:pPr>
            <w:r>
              <w:t xml:space="preserve">App </w:t>
            </w:r>
            <w:r>
              <w:t>介面模組</w:t>
            </w:r>
          </w:p>
        </w:tc>
        <w:tc>
          <w:tcPr>
            <w:tcW w:w="0" w:type="auto"/>
            <w:tcBorders>
              <w:top w:val="single" w:sz="4" w:space="0" w:color="000000"/>
              <w:left w:val="single" w:sz="4" w:space="0" w:color="000000"/>
              <w:bottom w:val="single" w:sz="4" w:space="0" w:color="000000"/>
              <w:right w:val="single" w:sz="4" w:space="0" w:color="000000"/>
            </w:tcBorders>
          </w:tcPr>
          <w:p w14:paraId="432D6C96" w14:textId="77777777" w:rsidR="002E5EB3" w:rsidRDefault="00000000">
            <w:pPr>
              <w:spacing w:before="40" w:after="40"/>
            </w:pPr>
            <w:r>
              <w:t>精華片段、標籤、時間錨點</w:t>
            </w:r>
          </w:p>
        </w:tc>
        <w:tc>
          <w:tcPr>
            <w:tcW w:w="0" w:type="auto"/>
            <w:tcBorders>
              <w:top w:val="single" w:sz="4" w:space="0" w:color="000000"/>
              <w:left w:val="single" w:sz="4" w:space="0" w:color="000000"/>
              <w:bottom w:val="single" w:sz="4" w:space="0" w:color="000000"/>
              <w:right w:val="single" w:sz="4" w:space="0" w:color="000000"/>
            </w:tcBorders>
          </w:tcPr>
          <w:p w14:paraId="40AB93A1" w14:textId="77777777" w:rsidR="002E5EB3" w:rsidRDefault="00000000">
            <w:pPr>
              <w:spacing w:before="40" w:after="40"/>
            </w:pPr>
            <w:r>
              <w:t>滑動式學習頁面、原</w:t>
            </w:r>
            <w:proofErr w:type="gramStart"/>
            <w:r>
              <w:t>片跳轉</w:t>
            </w:r>
            <w:proofErr w:type="gramEnd"/>
          </w:p>
        </w:tc>
        <w:tc>
          <w:tcPr>
            <w:tcW w:w="0" w:type="auto"/>
            <w:tcBorders>
              <w:top w:val="single" w:sz="4" w:space="0" w:color="000000"/>
              <w:left w:val="single" w:sz="4" w:space="0" w:color="000000"/>
              <w:bottom w:val="single" w:sz="4" w:space="0" w:color="000000"/>
              <w:right w:val="single" w:sz="4" w:space="0" w:color="000000"/>
            </w:tcBorders>
          </w:tcPr>
          <w:p w14:paraId="114B58DD" w14:textId="77777777" w:rsidR="002E5EB3" w:rsidRDefault="00000000">
            <w:pPr>
              <w:spacing w:before="40" w:after="40"/>
            </w:pPr>
            <w:r>
              <w:t>提供使用者瀏覽與回溯體驗</w:t>
            </w:r>
          </w:p>
        </w:tc>
      </w:tr>
    </w:tbl>
    <w:p w14:paraId="25763E2F" w14:textId="77777777" w:rsidR="002E5EB3" w:rsidRDefault="00000000">
      <w:pPr>
        <w:spacing w:before="120" w:after="40"/>
        <w:jc w:val="both"/>
      </w:pPr>
      <w:r>
        <w:rPr>
          <w:b/>
          <w:bCs/>
          <w:sz w:val="28"/>
          <w:szCs w:val="28"/>
        </w:rPr>
        <w:t>四、圖像化輸出設計</w:t>
      </w:r>
    </w:p>
    <w:p w14:paraId="443C5B54" w14:textId="77777777" w:rsidR="002E5EB3" w:rsidRDefault="00000000">
      <w:pPr>
        <w:ind w:firstLine="480"/>
        <w:jc w:val="both"/>
      </w:pPr>
      <w:r>
        <w:lastRenderedPageBreak/>
        <w:t>為避免</w:t>
      </w:r>
      <w:proofErr w:type="gramStart"/>
      <w:r>
        <w:t>短影音僅</w:t>
      </w:r>
      <w:proofErr w:type="gramEnd"/>
      <w:r>
        <w:t>成為「壓縮</w:t>
      </w:r>
      <w:proofErr w:type="gramStart"/>
      <w:r>
        <w:t>版逐字稿</w:t>
      </w:r>
      <w:proofErr w:type="gramEnd"/>
      <w:r>
        <w:t>」，本研究在內容生成階段加入圖卡與視覺層次規劃。圖</w:t>
      </w:r>
      <w:r>
        <w:t xml:space="preserve"> 3 </w:t>
      </w:r>
      <w:proofErr w:type="gramStart"/>
      <w:r>
        <w:t>為短影音</w:t>
      </w:r>
      <w:proofErr w:type="gramEnd"/>
      <w:r>
        <w:t>生成示意圖，原始碼見</w:t>
      </w:r>
      <w:r>
        <w:t xml:space="preserve"> `figures/</w:t>
      </w:r>
      <w:r>
        <w:t>圖</w:t>
      </w:r>
      <w:r>
        <w:t>3_</w:t>
      </w:r>
      <w:proofErr w:type="gramStart"/>
      <w:r>
        <w:t>短影音</w:t>
      </w:r>
      <w:proofErr w:type="gramEnd"/>
      <w:r>
        <w:t>生成示意圖</w:t>
      </w:r>
      <w:r>
        <w:t>.mmd`</w:t>
      </w:r>
      <w:r>
        <w:t>。每一段輸出內容應至少包含以下元素：</w:t>
      </w:r>
    </w:p>
    <w:p w14:paraId="5A887F94" w14:textId="77777777" w:rsidR="002E5EB3" w:rsidRDefault="00000000">
      <w:pPr>
        <w:ind w:left="360" w:hanging="240"/>
        <w:jc w:val="both"/>
      </w:pPr>
      <w:r>
        <w:t xml:space="preserve">1. </w:t>
      </w:r>
      <w:r>
        <w:t>與語音同步之字幕。</w:t>
      </w:r>
    </w:p>
    <w:p w14:paraId="41933758" w14:textId="77777777" w:rsidR="002E5EB3" w:rsidRDefault="00000000">
      <w:pPr>
        <w:ind w:left="360" w:hanging="240"/>
        <w:jc w:val="both"/>
      </w:pPr>
      <w:r>
        <w:t xml:space="preserve">2. </w:t>
      </w:r>
      <w:r>
        <w:t>用於引導注意力之重點標題。</w:t>
      </w:r>
    </w:p>
    <w:p w14:paraId="47BEF7FF" w14:textId="77777777" w:rsidR="002E5EB3" w:rsidRDefault="00000000">
      <w:pPr>
        <w:ind w:left="360" w:hanging="240"/>
        <w:jc w:val="both"/>
      </w:pPr>
      <w:r>
        <w:t xml:space="preserve">3. </w:t>
      </w:r>
      <w:r>
        <w:t>有助理解之對比圖卡、流程圖或關鍵概念視覺化元素。</w:t>
      </w:r>
    </w:p>
    <w:p w14:paraId="043CC0FD" w14:textId="77777777" w:rsidR="002E5EB3" w:rsidRDefault="00000000">
      <w:pPr>
        <w:ind w:left="360" w:hanging="240"/>
        <w:jc w:val="both"/>
      </w:pPr>
      <w:r>
        <w:t xml:space="preserve">4. </w:t>
      </w:r>
      <w:r>
        <w:t>適度的背景音樂建議，以提升觀看節奏，但不得干擾學習辨識。</w:t>
      </w:r>
    </w:p>
    <w:p w14:paraId="29C46B19" w14:textId="77777777" w:rsidR="002E5EB3" w:rsidRDefault="00000000">
      <w:pPr>
        <w:ind w:left="360" w:hanging="240"/>
        <w:jc w:val="both"/>
      </w:pPr>
      <w:r>
        <w:t xml:space="preserve">5. </w:t>
      </w:r>
      <w:r>
        <w:t>連回原始課程之時間錨點，確保學習者能快速取得完整脈絡。</w:t>
      </w:r>
    </w:p>
    <w:p w14:paraId="6F4D78F8" w14:textId="77777777" w:rsidR="002E5EB3" w:rsidRDefault="00000000">
      <w:pPr>
        <w:spacing w:before="40" w:after="20"/>
        <w:jc w:val="center"/>
      </w:pPr>
      <w:r>
        <w:rPr>
          <w:noProof/>
        </w:rPr>
        <w:drawing>
          <wp:inline distT="0" distB="0" distL="0" distR="0" wp14:anchorId="38AAC599" wp14:editId="64EEE130">
            <wp:extent cx="4540250" cy="2476500"/>
            <wp:effectExtent l="0" t="0" r="0" b="0"/>
            <wp:docPr id="1213860305" name="圖片 121386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0305" name="圖片 121386030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540250" cy="2476500"/>
                    </a:xfrm>
                    <a:prstGeom prst="rect">
                      <a:avLst/>
                    </a:prstGeom>
                  </pic:spPr>
                </pic:pic>
              </a:graphicData>
            </a:graphic>
          </wp:inline>
        </w:drawing>
      </w:r>
    </w:p>
    <w:p w14:paraId="0A26A899" w14:textId="77777777" w:rsidR="002E5EB3" w:rsidRDefault="00000000" w:rsidP="00565324">
      <w:pPr>
        <w:spacing w:after="40"/>
        <w:jc w:val="center"/>
      </w:pPr>
      <w:r>
        <w:t>圖</w:t>
      </w:r>
      <w:r>
        <w:t xml:space="preserve"> 3 </w:t>
      </w:r>
      <w:proofErr w:type="gramStart"/>
      <w:r>
        <w:t>短影音</w:t>
      </w:r>
      <w:proofErr w:type="gramEnd"/>
      <w:r>
        <w:t>生成示意圖</w:t>
      </w:r>
    </w:p>
    <w:p w14:paraId="081EBBA5" w14:textId="77777777" w:rsidR="002E5EB3" w:rsidRDefault="00000000">
      <w:pPr>
        <w:spacing w:before="120" w:after="40"/>
        <w:jc w:val="both"/>
      </w:pPr>
      <w:r>
        <w:rPr>
          <w:b/>
          <w:bCs/>
          <w:sz w:val="28"/>
          <w:szCs w:val="28"/>
        </w:rPr>
        <w:t>肆、應用情境與可行性分析</w:t>
      </w:r>
    </w:p>
    <w:p w14:paraId="1E11560D" w14:textId="77777777" w:rsidR="002E5EB3" w:rsidRDefault="00000000">
      <w:pPr>
        <w:spacing w:before="120" w:after="40"/>
        <w:jc w:val="both"/>
      </w:pPr>
      <w:r>
        <w:rPr>
          <w:b/>
          <w:bCs/>
          <w:sz w:val="28"/>
          <w:szCs w:val="28"/>
        </w:rPr>
        <w:t>一、應用情境示意</w:t>
      </w:r>
    </w:p>
    <w:p w14:paraId="1A1EF18A" w14:textId="77777777" w:rsidR="002E5EB3" w:rsidRDefault="00000000">
      <w:pPr>
        <w:ind w:firstLine="480"/>
        <w:jc w:val="both"/>
      </w:pPr>
      <w:r>
        <w:t>為說明本研究之實際使用方式，本文以「一段約</w:t>
      </w:r>
      <w:r>
        <w:t xml:space="preserve"> 60 </w:t>
      </w:r>
      <w:r>
        <w:t>分鐘之公開課程內容」為示意情境。教師或課程平台上傳錄音與原始影片後，系統首先以</w:t>
      </w:r>
      <w:r>
        <w:t xml:space="preserve"> Whisper </w:t>
      </w:r>
      <w:r>
        <w:t>產生</w:t>
      </w:r>
      <w:proofErr w:type="gramStart"/>
      <w:r>
        <w:t>逐字稿與</w:t>
      </w:r>
      <w:proofErr w:type="gramEnd"/>
      <w:r>
        <w:t>時間標記，再結合</w:t>
      </w:r>
      <w:r>
        <w:t xml:space="preserve"> </w:t>
      </w:r>
      <w:proofErr w:type="spellStart"/>
      <w:r>
        <w:t>InstructBlipVideo</w:t>
      </w:r>
      <w:proofErr w:type="spellEnd"/>
      <w:r>
        <w:t xml:space="preserve"> </w:t>
      </w:r>
      <w:r>
        <w:t>分析畫面中投影片標題、圖表與板書資訊。內容規劃模組依據知識密度、講述節點與畫面變化，擷取出</w:t>
      </w:r>
      <w:r>
        <w:t xml:space="preserve"> 5 </w:t>
      </w:r>
      <w:r>
        <w:t>至</w:t>
      </w:r>
      <w:r>
        <w:t xml:space="preserve"> 10 </w:t>
      </w:r>
      <w:proofErr w:type="gramStart"/>
      <w:r>
        <w:t>段具代表性</w:t>
      </w:r>
      <w:proofErr w:type="gramEnd"/>
      <w:r>
        <w:t>的重點單元，如概念定義、方法比較、案例說明與常見錯誤提醒等。</w:t>
      </w:r>
    </w:p>
    <w:p w14:paraId="3024F32E" w14:textId="77777777" w:rsidR="002E5EB3" w:rsidRDefault="00000000">
      <w:pPr>
        <w:ind w:firstLine="480"/>
        <w:jc w:val="both"/>
      </w:pPr>
      <w:r>
        <w:t>後續，</w:t>
      </w:r>
      <w:r>
        <w:t xml:space="preserve">Sora </w:t>
      </w:r>
      <w:r>
        <w:t>根據片段摘要與視覺提示</w:t>
      </w:r>
      <w:proofErr w:type="gramStart"/>
      <w:r>
        <w:t>生成短影音</w:t>
      </w:r>
      <w:proofErr w:type="gramEnd"/>
      <w:r>
        <w:t>輔助內容，例如簡化版概念流程、重點對照卡與片頭導</w:t>
      </w:r>
      <w:proofErr w:type="gramStart"/>
      <w:r>
        <w:t>覽</w:t>
      </w:r>
      <w:proofErr w:type="gramEnd"/>
      <w:r>
        <w:t>。使用者在</w:t>
      </w:r>
      <w:r>
        <w:t xml:space="preserve"> App </w:t>
      </w:r>
      <w:r>
        <w:t>中瀏覽這些片段時，可快速掌握課程重點；若想進一步理解某一理論或案例，只需點</w:t>
      </w:r>
      <w:proofErr w:type="gramStart"/>
      <w:r>
        <w:t>擊回跳按鈕</w:t>
      </w:r>
      <w:proofErr w:type="gramEnd"/>
      <w:r>
        <w:t>，即可返回原始影片相應位置觀看完整說明。此一流程對於考前複習、課後補強與非同步學習皆具應用價值。</w:t>
      </w:r>
    </w:p>
    <w:p w14:paraId="14920075" w14:textId="77777777" w:rsidR="002E5EB3" w:rsidRDefault="00000000">
      <w:pPr>
        <w:spacing w:before="120" w:after="40"/>
        <w:jc w:val="both"/>
      </w:pPr>
      <w:r>
        <w:rPr>
          <w:b/>
          <w:bCs/>
          <w:sz w:val="28"/>
          <w:szCs w:val="28"/>
        </w:rPr>
        <w:t>二、可行性分析</w:t>
      </w:r>
    </w:p>
    <w:p w14:paraId="40284CB0" w14:textId="77777777" w:rsidR="002E5EB3" w:rsidRDefault="00000000">
      <w:pPr>
        <w:ind w:firstLine="480"/>
        <w:jc w:val="both"/>
      </w:pPr>
      <w:r>
        <w:t>本研究之可行性來自三個層面。首先，在技術層面，語音轉寫、畫面描述與影片生成皆已有成熟模型或</w:t>
      </w:r>
      <w:r>
        <w:t xml:space="preserve"> API </w:t>
      </w:r>
      <w:r>
        <w:t>可作為基礎，不需從零訓練大模型。其次，在產品層面，</w:t>
      </w:r>
      <w:proofErr w:type="gramStart"/>
      <w:r>
        <w:t>短影音</w:t>
      </w:r>
      <w:proofErr w:type="gramEnd"/>
      <w:r>
        <w:t>式互動介面已為當代使用者熟悉，能降低操作學習成本。最後，在教育層面，本平台並未嘗試</w:t>
      </w:r>
      <w:proofErr w:type="gramStart"/>
      <w:r>
        <w:t>以短影音</w:t>
      </w:r>
      <w:proofErr w:type="gramEnd"/>
      <w:r>
        <w:t>取代完整課程，而是將其定位為「快速進入重點」與「連回完整脈絡」之橋接工具，因此較能平衡學習效率與知識深度。</w:t>
      </w:r>
    </w:p>
    <w:p w14:paraId="6512E104" w14:textId="77777777" w:rsidR="002E5EB3" w:rsidRDefault="00000000">
      <w:pPr>
        <w:ind w:firstLine="480"/>
        <w:jc w:val="both"/>
      </w:pPr>
      <w:proofErr w:type="gramStart"/>
      <w:r>
        <w:t>惟</w:t>
      </w:r>
      <w:proofErr w:type="gramEnd"/>
      <w:r>
        <w:t>現階段本文仍屬系統設計與應用規劃，不主張已完成大規模效能驗證或使用者成效評估。未來若進入正式實作，仍需進一步驗證摘要切片品質、字幕正確率、視覺輔助適切性與學習者使用滿意度，以支撐更完整之系統評估。</w:t>
      </w:r>
    </w:p>
    <w:p w14:paraId="204F3191" w14:textId="77777777" w:rsidR="002E5EB3" w:rsidRDefault="00000000">
      <w:pPr>
        <w:spacing w:before="120" w:after="40"/>
        <w:jc w:val="both"/>
      </w:pPr>
      <w:r>
        <w:rPr>
          <w:b/>
          <w:bCs/>
          <w:sz w:val="28"/>
          <w:szCs w:val="28"/>
        </w:rPr>
        <w:lastRenderedPageBreak/>
        <w:t>伍、</w:t>
      </w:r>
      <w:r>
        <w:rPr>
          <w:b/>
          <w:bCs/>
          <w:sz w:val="28"/>
          <w:szCs w:val="28"/>
        </w:rPr>
        <w:t xml:space="preserve">ESG </w:t>
      </w:r>
      <w:r>
        <w:rPr>
          <w:b/>
          <w:bCs/>
          <w:sz w:val="28"/>
          <w:szCs w:val="28"/>
        </w:rPr>
        <w:t>影響分析與治理討論</w:t>
      </w:r>
    </w:p>
    <w:p w14:paraId="192D5CB9" w14:textId="77777777" w:rsidR="002E5EB3" w:rsidRDefault="00000000">
      <w:pPr>
        <w:spacing w:before="120" w:after="40"/>
        <w:jc w:val="both"/>
      </w:pPr>
      <w:r>
        <w:rPr>
          <w:b/>
          <w:bCs/>
          <w:sz w:val="28"/>
          <w:szCs w:val="28"/>
        </w:rPr>
        <w:t>一、社會責任（</w:t>
      </w:r>
      <w:r>
        <w:rPr>
          <w:b/>
          <w:bCs/>
          <w:sz w:val="28"/>
          <w:szCs w:val="28"/>
        </w:rPr>
        <w:t>S</w:t>
      </w:r>
      <w:r>
        <w:rPr>
          <w:b/>
          <w:bCs/>
          <w:sz w:val="28"/>
          <w:szCs w:val="28"/>
        </w:rPr>
        <w:t>）面向</w:t>
      </w:r>
    </w:p>
    <w:p w14:paraId="7C4ADEE6" w14:textId="77777777" w:rsidR="002E5EB3" w:rsidRDefault="00000000">
      <w:pPr>
        <w:ind w:firstLine="480"/>
        <w:jc w:val="both"/>
      </w:pPr>
      <w:r>
        <w:t>本研究之核心價值在於以</w:t>
      </w:r>
      <w:r>
        <w:t xml:space="preserve"> AI </w:t>
      </w:r>
      <w:r>
        <w:t>降低優質教育內容的取得門檻。對於無法完整參與長時數課堂、需要反覆複習特定知識點，或處於資源不足學習場域的使用者而言，</w:t>
      </w:r>
      <w:proofErr w:type="gramStart"/>
      <w:r>
        <w:t>短影音化</w:t>
      </w:r>
      <w:proofErr w:type="gramEnd"/>
      <w:r>
        <w:t>之學習內容可提升進入門檻較高課程的機會。其社會責任意義體現在三點：第一，將原本需要較長專注時間的內容重新設計為更易接近的形式；第二，降低教育</w:t>
      </w:r>
      <w:proofErr w:type="gramStart"/>
      <w:r>
        <w:t>內容轉製的</w:t>
      </w:r>
      <w:proofErr w:type="gramEnd"/>
      <w:r>
        <w:t>人工成本，使更多教師或單位有機會擴散教學資源；第三，透過原</w:t>
      </w:r>
      <w:proofErr w:type="gramStart"/>
      <w:r>
        <w:t>片回跳</w:t>
      </w:r>
      <w:proofErr w:type="gramEnd"/>
      <w:r>
        <w:t>設計，避免學習者僅停留在片段資訊，進而維持學習品質與知識連續性。</w:t>
      </w:r>
    </w:p>
    <w:p w14:paraId="5F561883" w14:textId="77777777" w:rsidR="002E5EB3" w:rsidRDefault="00000000">
      <w:pPr>
        <w:ind w:firstLine="480"/>
        <w:jc w:val="both"/>
      </w:pPr>
      <w:r>
        <w:t>換言之，本研究並非</w:t>
      </w:r>
      <w:proofErr w:type="gramStart"/>
      <w:r>
        <w:t>將短影音</w:t>
      </w:r>
      <w:proofErr w:type="gramEnd"/>
      <w:r>
        <w:t>視為娛樂式分心工具，而是嘗試將其轉化為教育普及化的媒介，讓學習者能以更低的時間成本接觸高品質內容，再視需要回到完整課程深入理解。此一邏輯與</w:t>
      </w:r>
      <w:r>
        <w:t xml:space="preserve"> SDG 4 </w:t>
      </w:r>
      <w:r>
        <w:t>所強調之包容、公平與終身學習機會具有高度一致性。</w:t>
      </w:r>
    </w:p>
    <w:p w14:paraId="04F73648" w14:textId="77777777" w:rsidR="002E5EB3" w:rsidRDefault="00000000">
      <w:pPr>
        <w:spacing w:before="120" w:after="40"/>
        <w:jc w:val="both"/>
      </w:pPr>
      <w:r>
        <w:rPr>
          <w:b/>
          <w:bCs/>
          <w:sz w:val="28"/>
          <w:szCs w:val="28"/>
        </w:rPr>
        <w:t>二、治理（</w:t>
      </w:r>
      <w:r>
        <w:rPr>
          <w:b/>
          <w:bCs/>
          <w:sz w:val="28"/>
          <w:szCs w:val="28"/>
        </w:rPr>
        <w:t>G</w:t>
      </w:r>
      <w:r>
        <w:rPr>
          <w:b/>
          <w:bCs/>
          <w:sz w:val="28"/>
          <w:szCs w:val="28"/>
        </w:rPr>
        <w:t>）面向</w:t>
      </w:r>
    </w:p>
    <w:p w14:paraId="1AEA0FB9" w14:textId="77777777" w:rsidR="002E5EB3" w:rsidRDefault="00000000">
      <w:pPr>
        <w:ind w:firstLine="480"/>
        <w:jc w:val="both"/>
      </w:pPr>
      <w:r>
        <w:t>雖然本研究主軸屬於社會責任，但生成式</w:t>
      </w:r>
      <w:r>
        <w:t xml:space="preserve"> AI </w:t>
      </w:r>
      <w:r>
        <w:t>的應用亦直接牽涉治理問題。首先，若系統處理教師錄音、課程影片與投影片內容，必須先確認教材授權與上傳同意機制，避免未</w:t>
      </w:r>
      <w:proofErr w:type="gramStart"/>
      <w:r>
        <w:t>授權轉製與</w:t>
      </w:r>
      <w:proofErr w:type="gramEnd"/>
      <w:r>
        <w:t>二次散布。其次，若</w:t>
      </w:r>
      <w:r>
        <w:t xml:space="preserve"> Sora </w:t>
      </w:r>
      <w:r>
        <w:t>生成之視覺素材包含模擬畫面，平台應清楚標示其為</w:t>
      </w:r>
      <w:r>
        <w:t xml:space="preserve"> AI </w:t>
      </w:r>
      <w:r>
        <w:t>輔助生成內容，避免使用者誤認為原課堂畫面。再次，</w:t>
      </w:r>
      <w:proofErr w:type="gramStart"/>
      <w:r>
        <w:t>逐字稿</w:t>
      </w:r>
      <w:proofErr w:type="gramEnd"/>
      <w:r>
        <w:t>、學習偏好與點擊</w:t>
      </w:r>
      <w:proofErr w:type="gramStart"/>
      <w:r>
        <w:t>紀錄均屬資料</w:t>
      </w:r>
      <w:proofErr w:type="gramEnd"/>
      <w:r>
        <w:t>治理範圍，平台應採取最小蒐集、明確用途揭露與合理保存期限等措施。</w:t>
      </w:r>
    </w:p>
    <w:p w14:paraId="2069DC17" w14:textId="77777777" w:rsidR="002E5EB3" w:rsidRDefault="00000000">
      <w:pPr>
        <w:ind w:firstLine="480"/>
        <w:jc w:val="both"/>
      </w:pPr>
      <w:proofErr w:type="gramStart"/>
      <w:r>
        <w:t>此外，</w:t>
      </w:r>
      <w:proofErr w:type="gramEnd"/>
      <w:r>
        <w:t>若背景音樂或外部素材涉及第三方著作權，亦應建立內容來源管理與授權檢核流程。對教育平台而言，治理不應被視為上線後補充之法務措施，而應在系統設計初期即納入流程。表</w:t>
      </w:r>
      <w:r>
        <w:t xml:space="preserve"> 2 </w:t>
      </w:r>
      <w:r>
        <w:t>為本研究與</w:t>
      </w:r>
      <w:r>
        <w:t xml:space="preserve"> ESG </w:t>
      </w:r>
      <w:r>
        <w:t>對應整理。</w:t>
      </w:r>
    </w:p>
    <w:p w14:paraId="182D1475" w14:textId="77777777" w:rsidR="002E5EB3" w:rsidRDefault="00000000">
      <w:pPr>
        <w:spacing w:before="40" w:after="20"/>
      </w:pPr>
      <w:r>
        <w:t>表</w:t>
      </w:r>
      <w:r>
        <w:t xml:space="preserve"> 2 </w:t>
      </w:r>
      <w:r>
        <w:t>本研究與</w:t>
      </w:r>
      <w:r>
        <w:t xml:space="preserve"> ESG </w:t>
      </w:r>
      <w:r>
        <w:t>對應表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3134"/>
        <w:gridCol w:w="4656"/>
      </w:tblGrid>
      <w:tr w:rsidR="002E5EB3" w14:paraId="046A028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4768587" w14:textId="77777777" w:rsidR="002E5EB3" w:rsidRDefault="00000000">
            <w:pPr>
              <w:spacing w:before="40" w:after="40"/>
              <w:jc w:val="center"/>
            </w:pPr>
            <w:r>
              <w:rPr>
                <w:b/>
                <w:bCs/>
              </w:rPr>
              <w:t>面向</w:t>
            </w:r>
          </w:p>
        </w:tc>
        <w:tc>
          <w:tcPr>
            <w:tcW w:w="0" w:type="auto"/>
            <w:tcBorders>
              <w:top w:val="single" w:sz="4" w:space="0" w:color="000000"/>
              <w:left w:val="single" w:sz="4" w:space="0" w:color="000000"/>
              <w:bottom w:val="single" w:sz="4" w:space="0" w:color="000000"/>
              <w:right w:val="single" w:sz="4" w:space="0" w:color="000000"/>
            </w:tcBorders>
          </w:tcPr>
          <w:p w14:paraId="21ED484A" w14:textId="77777777" w:rsidR="002E5EB3" w:rsidRDefault="00000000">
            <w:pPr>
              <w:spacing w:before="40" w:after="40"/>
              <w:jc w:val="center"/>
            </w:pPr>
            <w:r>
              <w:rPr>
                <w:b/>
                <w:bCs/>
              </w:rPr>
              <w:t>對應內容</w:t>
            </w:r>
          </w:p>
        </w:tc>
        <w:tc>
          <w:tcPr>
            <w:tcW w:w="0" w:type="auto"/>
            <w:tcBorders>
              <w:top w:val="single" w:sz="4" w:space="0" w:color="000000"/>
              <w:left w:val="single" w:sz="4" w:space="0" w:color="000000"/>
              <w:bottom w:val="single" w:sz="4" w:space="0" w:color="000000"/>
              <w:right w:val="single" w:sz="4" w:space="0" w:color="000000"/>
            </w:tcBorders>
          </w:tcPr>
          <w:p w14:paraId="26FAF3DC" w14:textId="77777777" w:rsidR="002E5EB3" w:rsidRDefault="00000000">
            <w:pPr>
              <w:spacing w:before="40" w:after="40"/>
              <w:jc w:val="center"/>
            </w:pPr>
            <w:r>
              <w:rPr>
                <w:b/>
                <w:bCs/>
              </w:rPr>
              <w:t>本研究具體作法</w:t>
            </w:r>
          </w:p>
        </w:tc>
      </w:tr>
      <w:tr w:rsidR="002E5EB3" w14:paraId="7C2F1E6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71EF08EB" w14:textId="77777777" w:rsidR="002E5EB3" w:rsidRDefault="00000000">
            <w:pPr>
              <w:spacing w:before="40" w:after="40"/>
            </w:pPr>
            <w:r>
              <w:t>S</w:t>
            </w:r>
            <w:r>
              <w:t>：社會責任</w:t>
            </w:r>
          </w:p>
        </w:tc>
        <w:tc>
          <w:tcPr>
            <w:tcW w:w="0" w:type="auto"/>
            <w:tcBorders>
              <w:top w:val="single" w:sz="4" w:space="0" w:color="000000"/>
              <w:left w:val="single" w:sz="4" w:space="0" w:color="000000"/>
              <w:bottom w:val="single" w:sz="4" w:space="0" w:color="000000"/>
              <w:right w:val="single" w:sz="4" w:space="0" w:color="000000"/>
            </w:tcBorders>
          </w:tcPr>
          <w:p w14:paraId="7A361B73" w14:textId="77777777" w:rsidR="002E5EB3" w:rsidRDefault="00000000">
            <w:pPr>
              <w:spacing w:before="40" w:after="40"/>
            </w:pPr>
            <w:r>
              <w:t>提升教育可近性與複習效率</w:t>
            </w:r>
          </w:p>
        </w:tc>
        <w:tc>
          <w:tcPr>
            <w:tcW w:w="0" w:type="auto"/>
            <w:tcBorders>
              <w:top w:val="single" w:sz="4" w:space="0" w:color="000000"/>
              <w:left w:val="single" w:sz="4" w:space="0" w:color="000000"/>
              <w:bottom w:val="single" w:sz="4" w:space="0" w:color="000000"/>
              <w:right w:val="single" w:sz="4" w:space="0" w:color="000000"/>
            </w:tcBorders>
          </w:tcPr>
          <w:p w14:paraId="08C80331" w14:textId="77777777" w:rsidR="002E5EB3" w:rsidRDefault="00000000">
            <w:pPr>
              <w:spacing w:before="40" w:after="40"/>
            </w:pPr>
            <w:r>
              <w:t>將長課程轉為</w:t>
            </w:r>
            <w:proofErr w:type="gramStart"/>
            <w:r>
              <w:t>可刷式短影</w:t>
            </w:r>
            <w:proofErr w:type="gramEnd"/>
            <w:r>
              <w:t>音，降低優質內容使用門檻</w:t>
            </w:r>
          </w:p>
        </w:tc>
      </w:tr>
      <w:tr w:rsidR="002E5EB3" w14:paraId="11DAF04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36AD5631" w14:textId="77777777" w:rsidR="002E5EB3" w:rsidRDefault="00000000">
            <w:pPr>
              <w:spacing w:before="40" w:after="40"/>
            </w:pPr>
            <w:r>
              <w:t>S</w:t>
            </w:r>
            <w:r>
              <w:t>：教育普及</w:t>
            </w:r>
          </w:p>
        </w:tc>
        <w:tc>
          <w:tcPr>
            <w:tcW w:w="0" w:type="auto"/>
            <w:tcBorders>
              <w:top w:val="single" w:sz="4" w:space="0" w:color="000000"/>
              <w:left w:val="single" w:sz="4" w:space="0" w:color="000000"/>
              <w:bottom w:val="single" w:sz="4" w:space="0" w:color="000000"/>
              <w:right w:val="single" w:sz="4" w:space="0" w:color="000000"/>
            </w:tcBorders>
          </w:tcPr>
          <w:p w14:paraId="32D05F75" w14:textId="77777777" w:rsidR="002E5EB3" w:rsidRDefault="00000000">
            <w:pPr>
              <w:spacing w:before="40" w:after="40"/>
            </w:pPr>
            <w:r>
              <w:t>擴大教學資源傳播範圍</w:t>
            </w:r>
          </w:p>
        </w:tc>
        <w:tc>
          <w:tcPr>
            <w:tcW w:w="0" w:type="auto"/>
            <w:tcBorders>
              <w:top w:val="single" w:sz="4" w:space="0" w:color="000000"/>
              <w:left w:val="single" w:sz="4" w:space="0" w:color="000000"/>
              <w:bottom w:val="single" w:sz="4" w:space="0" w:color="000000"/>
              <w:right w:val="single" w:sz="4" w:space="0" w:color="000000"/>
            </w:tcBorders>
          </w:tcPr>
          <w:p w14:paraId="7EEAD42E" w14:textId="77777777" w:rsidR="002E5EB3" w:rsidRDefault="00000000">
            <w:pPr>
              <w:spacing w:before="40" w:after="40"/>
            </w:pPr>
            <w:r>
              <w:t>降低內容轉製成本，使課程更容易再利用與擴散</w:t>
            </w:r>
          </w:p>
        </w:tc>
      </w:tr>
      <w:tr w:rsidR="002E5EB3" w14:paraId="56E15E1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73FDE15" w14:textId="77777777" w:rsidR="002E5EB3" w:rsidRDefault="00000000">
            <w:pPr>
              <w:spacing w:before="40" w:after="40"/>
            </w:pPr>
            <w:r>
              <w:t>G</w:t>
            </w:r>
            <w:r>
              <w:t>：資料治理</w:t>
            </w:r>
          </w:p>
        </w:tc>
        <w:tc>
          <w:tcPr>
            <w:tcW w:w="0" w:type="auto"/>
            <w:tcBorders>
              <w:top w:val="single" w:sz="4" w:space="0" w:color="000000"/>
              <w:left w:val="single" w:sz="4" w:space="0" w:color="000000"/>
              <w:bottom w:val="single" w:sz="4" w:space="0" w:color="000000"/>
              <w:right w:val="single" w:sz="4" w:space="0" w:color="000000"/>
            </w:tcBorders>
          </w:tcPr>
          <w:p w14:paraId="083797C3" w14:textId="77777777" w:rsidR="002E5EB3" w:rsidRDefault="00000000">
            <w:pPr>
              <w:spacing w:before="40" w:after="40"/>
            </w:pPr>
            <w:r>
              <w:t>保護</w:t>
            </w:r>
            <w:proofErr w:type="gramStart"/>
            <w:r>
              <w:t>逐字稿</w:t>
            </w:r>
            <w:proofErr w:type="gramEnd"/>
            <w:r>
              <w:t>、使用紀錄與上傳內容</w:t>
            </w:r>
          </w:p>
        </w:tc>
        <w:tc>
          <w:tcPr>
            <w:tcW w:w="0" w:type="auto"/>
            <w:tcBorders>
              <w:top w:val="single" w:sz="4" w:space="0" w:color="000000"/>
              <w:left w:val="single" w:sz="4" w:space="0" w:color="000000"/>
              <w:bottom w:val="single" w:sz="4" w:space="0" w:color="000000"/>
              <w:right w:val="single" w:sz="4" w:space="0" w:color="000000"/>
            </w:tcBorders>
          </w:tcPr>
          <w:p w14:paraId="57C5B5EE" w14:textId="77777777" w:rsidR="002E5EB3" w:rsidRDefault="00000000">
            <w:pPr>
              <w:spacing w:before="40" w:after="40"/>
            </w:pPr>
            <w:r>
              <w:t>建立最小蒐集、用途揭露與權限控管機制</w:t>
            </w:r>
          </w:p>
        </w:tc>
      </w:tr>
      <w:tr w:rsidR="002E5EB3" w14:paraId="4B3654B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Pr>
          <w:p w14:paraId="1EE3E1D7" w14:textId="77777777" w:rsidR="002E5EB3" w:rsidRDefault="00000000">
            <w:pPr>
              <w:spacing w:before="40" w:after="40"/>
            </w:pPr>
            <w:r>
              <w:t>G</w:t>
            </w:r>
            <w:r>
              <w:t>：內容治理</w:t>
            </w:r>
          </w:p>
        </w:tc>
        <w:tc>
          <w:tcPr>
            <w:tcW w:w="0" w:type="auto"/>
            <w:tcBorders>
              <w:top w:val="single" w:sz="4" w:space="0" w:color="000000"/>
              <w:left w:val="single" w:sz="4" w:space="0" w:color="000000"/>
              <w:bottom w:val="single" w:sz="4" w:space="0" w:color="000000"/>
              <w:right w:val="single" w:sz="4" w:space="0" w:color="000000"/>
            </w:tcBorders>
          </w:tcPr>
          <w:p w14:paraId="275BB924" w14:textId="77777777" w:rsidR="002E5EB3" w:rsidRDefault="00000000">
            <w:pPr>
              <w:spacing w:before="40" w:after="40"/>
            </w:pPr>
            <w:r>
              <w:t xml:space="preserve">AI </w:t>
            </w:r>
            <w:r>
              <w:t>生成內容之透明揭露與授權管理</w:t>
            </w:r>
          </w:p>
        </w:tc>
        <w:tc>
          <w:tcPr>
            <w:tcW w:w="0" w:type="auto"/>
            <w:tcBorders>
              <w:top w:val="single" w:sz="4" w:space="0" w:color="000000"/>
              <w:left w:val="single" w:sz="4" w:space="0" w:color="000000"/>
              <w:bottom w:val="single" w:sz="4" w:space="0" w:color="000000"/>
              <w:right w:val="single" w:sz="4" w:space="0" w:color="000000"/>
            </w:tcBorders>
          </w:tcPr>
          <w:p w14:paraId="04DA7139" w14:textId="77777777" w:rsidR="002E5EB3" w:rsidRDefault="00000000">
            <w:pPr>
              <w:spacing w:before="40" w:after="40"/>
            </w:pPr>
            <w:r>
              <w:t>明確標示</w:t>
            </w:r>
            <w:r>
              <w:t xml:space="preserve"> AI </w:t>
            </w:r>
            <w:r>
              <w:t>輔助片段，檢核教材、音樂與素材授權</w:t>
            </w:r>
          </w:p>
        </w:tc>
      </w:tr>
    </w:tbl>
    <w:p w14:paraId="7E5C2B51" w14:textId="77777777" w:rsidR="002E5EB3" w:rsidRDefault="00000000">
      <w:pPr>
        <w:spacing w:before="120" w:after="40"/>
        <w:jc w:val="both"/>
      </w:pPr>
      <w:r>
        <w:rPr>
          <w:b/>
          <w:bCs/>
          <w:sz w:val="28"/>
          <w:szCs w:val="28"/>
        </w:rPr>
        <w:t>三、研究限制</w:t>
      </w:r>
    </w:p>
    <w:p w14:paraId="30F6CFE4" w14:textId="77777777" w:rsidR="002E5EB3" w:rsidRDefault="00000000">
      <w:pPr>
        <w:ind w:firstLine="480"/>
        <w:jc w:val="both"/>
      </w:pPr>
      <w:r>
        <w:t>本研究目前仍屬系統設計提案，尚未納入正式使用者實驗、學習成效量測與跨課程類型比較，因此無法對不同學科領域、不同長度影片或不同使用族群提出統一成效結論。</w:t>
      </w:r>
      <w:proofErr w:type="gramStart"/>
      <w:r>
        <w:t>此外，短影</w:t>
      </w:r>
      <w:proofErr w:type="gramEnd"/>
      <w:r>
        <w:t>音形式雖有助於提高接觸率與注意力，但對於高度抽象、需要長時間推演的課程內容，仍可能面臨過度簡化的風險。未來系統設計須納入「</w:t>
      </w:r>
      <w:proofErr w:type="gramStart"/>
      <w:r>
        <w:t>短影音</w:t>
      </w:r>
      <w:proofErr w:type="gramEnd"/>
      <w:r>
        <w:t>預覽」與「原</w:t>
      </w:r>
      <w:proofErr w:type="gramStart"/>
      <w:r>
        <w:t>課程深學</w:t>
      </w:r>
      <w:proofErr w:type="gramEnd"/>
      <w:r>
        <w:t>」的雙層機制，以避免教育內容被平台化邏輯過度壓縮。</w:t>
      </w:r>
    </w:p>
    <w:p w14:paraId="07923546" w14:textId="77777777" w:rsidR="002E5EB3" w:rsidRDefault="00000000">
      <w:pPr>
        <w:spacing w:before="120" w:after="40"/>
        <w:jc w:val="both"/>
      </w:pPr>
      <w:r>
        <w:rPr>
          <w:b/>
          <w:bCs/>
          <w:sz w:val="28"/>
          <w:szCs w:val="28"/>
        </w:rPr>
        <w:t>陸、結論與未來研究</w:t>
      </w:r>
    </w:p>
    <w:p w14:paraId="0F1270EF" w14:textId="77777777" w:rsidR="002E5EB3" w:rsidRDefault="00000000">
      <w:pPr>
        <w:ind w:firstLine="480"/>
        <w:jc w:val="both"/>
      </w:pPr>
      <w:r>
        <w:t>本文提出一套以</w:t>
      </w:r>
      <w:r>
        <w:t xml:space="preserve"> Whisper</w:t>
      </w:r>
      <w:r>
        <w:t>、</w:t>
      </w:r>
      <w:proofErr w:type="spellStart"/>
      <w:r>
        <w:t>InstructBlipVideo</w:t>
      </w:r>
      <w:proofErr w:type="spellEnd"/>
      <w:r>
        <w:t xml:space="preserve"> </w:t>
      </w:r>
      <w:r>
        <w:t>與</w:t>
      </w:r>
      <w:r>
        <w:t xml:space="preserve"> Sora </w:t>
      </w:r>
      <w:r>
        <w:t>為核心的</w:t>
      </w:r>
      <w:r>
        <w:t xml:space="preserve"> AI </w:t>
      </w:r>
      <w:proofErr w:type="gramStart"/>
      <w:r>
        <w:t>短影音</w:t>
      </w:r>
      <w:proofErr w:type="gramEnd"/>
      <w:r>
        <w:t>學習平台構想，嘗試將長時數課程內容轉化為</w:t>
      </w:r>
      <w:proofErr w:type="gramStart"/>
      <w:r>
        <w:t>可刷式</w:t>
      </w:r>
      <w:proofErr w:type="gramEnd"/>
      <w:r>
        <w:t>、可理解且可回溯的學習片段。相較於只</w:t>
      </w:r>
      <w:r>
        <w:lastRenderedPageBreak/>
        <w:t>做內容摘要或單純影片剪輯，本研究強調「語意時間軸」、「畫面理解」與「</w:t>
      </w:r>
      <w:proofErr w:type="gramStart"/>
      <w:r>
        <w:t>回跳原</w:t>
      </w:r>
      <w:proofErr w:type="gramEnd"/>
      <w:r>
        <w:t>片」三者並重，</w:t>
      </w:r>
      <w:proofErr w:type="gramStart"/>
      <w:r>
        <w:t>使短影音</w:t>
      </w:r>
      <w:proofErr w:type="gramEnd"/>
      <w:r>
        <w:t>不只是縮短內容，而是重新設計學習入口。</w:t>
      </w:r>
    </w:p>
    <w:p w14:paraId="518344A2" w14:textId="77777777" w:rsidR="002E5EB3" w:rsidRDefault="00000000">
      <w:pPr>
        <w:ind w:firstLine="480"/>
        <w:jc w:val="both"/>
      </w:pPr>
      <w:r>
        <w:t>從永續發展與</w:t>
      </w:r>
      <w:r>
        <w:t xml:space="preserve"> ESG </w:t>
      </w:r>
      <w:r>
        <w:t>觀點而言，本研究對應的是以科技降低教育取得門檻之社會責任實踐，同時也指出資料保護、授權與生成內容透明性等治理議題的重要性。未來研究可朝三個方向進一步發展：</w:t>
      </w:r>
      <w:proofErr w:type="gramStart"/>
      <w:r>
        <w:t>其一，</w:t>
      </w:r>
      <w:proofErr w:type="gramEnd"/>
      <w:r>
        <w:t>完成</w:t>
      </w:r>
      <w:r>
        <w:t xml:space="preserve"> prototype </w:t>
      </w:r>
      <w:r>
        <w:t>並以真實課程內容進行流程驗證；</w:t>
      </w:r>
      <w:proofErr w:type="gramStart"/>
      <w:r>
        <w:t>其二，</w:t>
      </w:r>
      <w:proofErr w:type="gramEnd"/>
      <w:r>
        <w:t>透過問卷、使用紀錄與訪談評估學習者</w:t>
      </w:r>
      <w:proofErr w:type="gramStart"/>
      <w:r>
        <w:t>對短影音</w:t>
      </w:r>
      <w:proofErr w:type="gramEnd"/>
      <w:r>
        <w:t>複習機制之接受度與成效；其</w:t>
      </w:r>
      <w:proofErr w:type="gramStart"/>
      <w:r>
        <w:t>三</w:t>
      </w:r>
      <w:proofErr w:type="gramEnd"/>
      <w:r>
        <w:t>，建立更細緻的內容治理規範，讓</w:t>
      </w:r>
      <w:r>
        <w:t xml:space="preserve"> AI </w:t>
      </w:r>
      <w:r>
        <w:t>教育工具在創新與責任之間取得平衡。整體而言，本研究期望證明，</w:t>
      </w:r>
      <w:r>
        <w:t xml:space="preserve">AI </w:t>
      </w:r>
      <w:r>
        <w:t>不僅能提升內容生成效率，更可成為推動教育普及化與永續價值落實的重要媒介。</w:t>
      </w:r>
    </w:p>
    <w:p w14:paraId="33ECE374" w14:textId="77777777" w:rsidR="002E5EB3" w:rsidRDefault="00000000">
      <w:pPr>
        <w:spacing w:before="120" w:after="40"/>
        <w:jc w:val="both"/>
      </w:pPr>
      <w:r>
        <w:rPr>
          <w:b/>
          <w:bCs/>
          <w:sz w:val="28"/>
          <w:szCs w:val="28"/>
        </w:rPr>
        <w:t>參考文獻</w:t>
      </w:r>
    </w:p>
    <w:p w14:paraId="21DEA27F" w14:textId="77777777" w:rsidR="002E5EB3" w:rsidRDefault="00000000">
      <w:pPr>
        <w:ind w:left="480" w:hanging="480"/>
        <w:jc w:val="both"/>
      </w:pPr>
      <w:r>
        <w:t>Conde-Caballero, D., Castillo-Sarmiento, C. A., Ballesteros-</w:t>
      </w:r>
      <w:proofErr w:type="spellStart"/>
      <w:r>
        <w:t>Yánez</w:t>
      </w:r>
      <w:proofErr w:type="spellEnd"/>
      <w:r>
        <w:t xml:space="preserve">, I., Rivero-Jiménez, B., &amp; Mariano-Juárez, L. (2024). Microlearning through TikTok in higher education: An evaluation of uses and potentials. </w:t>
      </w:r>
      <w:r>
        <w:rPr>
          <w:i/>
          <w:iCs/>
        </w:rPr>
        <w:t>Education and Information Technologies, 29</w:t>
      </w:r>
      <w:r>
        <w:t>, 2365-2385. https://doi.org/10.1007/s10639-023-11904-4</w:t>
      </w:r>
    </w:p>
    <w:p w14:paraId="750CB54E" w14:textId="77777777" w:rsidR="002E5EB3" w:rsidRDefault="00000000">
      <w:pPr>
        <w:ind w:left="480" w:hanging="480"/>
        <w:jc w:val="both"/>
      </w:pPr>
      <w:r>
        <w:t xml:space="preserve">Dai, W., Li, J., Li, D., Tiong, A. M. H., Zhao, J., Wang, W., Li, B., Fung, P., &amp; Hoi, S. C. H. (2023). </w:t>
      </w:r>
      <w:proofErr w:type="spellStart"/>
      <w:r>
        <w:rPr>
          <w:i/>
          <w:iCs/>
        </w:rPr>
        <w:t>InstructBLIP</w:t>
      </w:r>
      <w:proofErr w:type="spellEnd"/>
      <w:r>
        <w:rPr>
          <w:i/>
          <w:iCs/>
        </w:rPr>
        <w:t>: Towards general-purpose vision-language models with instruction tuning</w:t>
      </w:r>
      <w:r>
        <w:t xml:space="preserve"> (arXiv:2305.06500). </w:t>
      </w:r>
      <w:proofErr w:type="spellStart"/>
      <w:r>
        <w:t>arXiv</w:t>
      </w:r>
      <w:proofErr w:type="spellEnd"/>
      <w:r>
        <w:t>. https://doi.org/10.48550/arXiv.2305.06500</w:t>
      </w:r>
    </w:p>
    <w:p w14:paraId="03946302" w14:textId="77777777" w:rsidR="002E5EB3" w:rsidRDefault="00000000">
      <w:pPr>
        <w:ind w:left="480" w:hanging="480"/>
        <w:jc w:val="both"/>
      </w:pPr>
      <w:proofErr w:type="spellStart"/>
      <w:r>
        <w:t>Denojean-Mairet</w:t>
      </w:r>
      <w:proofErr w:type="spellEnd"/>
      <w:r>
        <w:t xml:space="preserve">, M., López-Pernas, S., Agbo, F. J., et al. (2024). A literature review on the integration of microlearning and social media. </w:t>
      </w:r>
      <w:r>
        <w:rPr>
          <w:i/>
          <w:iCs/>
        </w:rPr>
        <w:t>Smart Learning Environments, 11</w:t>
      </w:r>
      <w:r>
        <w:t>, 46. https://doi.org/10.1186/s40561-024-00334-5</w:t>
      </w:r>
    </w:p>
    <w:p w14:paraId="6EA6E5F7" w14:textId="77777777" w:rsidR="002E5EB3" w:rsidRDefault="00000000">
      <w:pPr>
        <w:ind w:left="480" w:hanging="480"/>
        <w:jc w:val="both"/>
      </w:pPr>
      <w:r>
        <w:t xml:space="preserve">Hugging Face. (2026). </w:t>
      </w:r>
      <w:proofErr w:type="spellStart"/>
      <w:r>
        <w:rPr>
          <w:i/>
          <w:iCs/>
        </w:rPr>
        <w:t>InstructBlipVideo</w:t>
      </w:r>
      <w:proofErr w:type="spellEnd"/>
      <w:r>
        <w:t>. Transformers documentation. https://huggingface.co/docs/transformers/v5.0.0/en/model_doc/instructblipvideo</w:t>
      </w:r>
    </w:p>
    <w:p w14:paraId="13D1354F" w14:textId="77777777" w:rsidR="002E5EB3" w:rsidRDefault="00000000">
      <w:pPr>
        <w:ind w:left="480" w:hanging="480"/>
        <w:jc w:val="both"/>
      </w:pPr>
      <w:r>
        <w:t xml:space="preserve">Li, J., Li, D., Savarese, S., &amp; Hoi, S. C. H. (2023). </w:t>
      </w:r>
      <w:r>
        <w:rPr>
          <w:i/>
          <w:iCs/>
        </w:rPr>
        <w:t>BLIP-2: Bootstrapping language-image pre-training with frozen image encoders and large language models</w:t>
      </w:r>
      <w:r>
        <w:t xml:space="preserve"> (arXiv:2301.12597). </w:t>
      </w:r>
      <w:proofErr w:type="spellStart"/>
      <w:r>
        <w:t>arXiv</w:t>
      </w:r>
      <w:proofErr w:type="spellEnd"/>
      <w:r>
        <w:t>. https://doi.org/10.48550/arXiv.2301.12597</w:t>
      </w:r>
    </w:p>
    <w:p w14:paraId="5BF6E5D9" w14:textId="77777777" w:rsidR="002E5EB3" w:rsidRDefault="00000000">
      <w:pPr>
        <w:ind w:left="480" w:hanging="480"/>
        <w:jc w:val="both"/>
      </w:pPr>
      <w:r>
        <w:t xml:space="preserve">McNeill, L., &amp; Fitch, D. (2023). Microlearning through the lens of Gagne’s nine events of instruction: A qualitative study. </w:t>
      </w:r>
      <w:proofErr w:type="spellStart"/>
      <w:r>
        <w:rPr>
          <w:i/>
          <w:iCs/>
        </w:rPr>
        <w:t>TechTrends</w:t>
      </w:r>
      <w:proofErr w:type="spellEnd"/>
      <w:r>
        <w:rPr>
          <w:i/>
          <w:iCs/>
        </w:rPr>
        <w:t>, 67</w:t>
      </w:r>
      <w:r>
        <w:t>, 521-533. https://doi.org/10.1007/s11528-022-00805-x</w:t>
      </w:r>
    </w:p>
    <w:p w14:paraId="29DCA0FB" w14:textId="77777777" w:rsidR="002E5EB3" w:rsidRDefault="00000000">
      <w:pPr>
        <w:ind w:left="480" w:hanging="480"/>
        <w:jc w:val="both"/>
      </w:pPr>
      <w:r>
        <w:t xml:space="preserve">OpenAI. (2022, September 21). </w:t>
      </w:r>
      <w:r>
        <w:rPr>
          <w:i/>
          <w:iCs/>
        </w:rPr>
        <w:t>Introducing Whisper</w:t>
      </w:r>
      <w:r>
        <w:t>. https://openai.com/index/whisper/</w:t>
      </w:r>
    </w:p>
    <w:p w14:paraId="10188D49" w14:textId="77777777" w:rsidR="002E5EB3" w:rsidRDefault="00000000">
      <w:pPr>
        <w:ind w:left="480" w:hanging="480"/>
        <w:jc w:val="both"/>
      </w:pPr>
      <w:r>
        <w:t xml:space="preserve">OpenAI. (2026). </w:t>
      </w:r>
      <w:r>
        <w:rPr>
          <w:i/>
          <w:iCs/>
        </w:rPr>
        <w:t>Sora 2 Pro model</w:t>
      </w:r>
      <w:r>
        <w:t>. OpenAI API documentation. https://developers.openai.com/api/docs/models/sora-2-pro</w:t>
      </w:r>
    </w:p>
    <w:p w14:paraId="18F0E3AB" w14:textId="77777777" w:rsidR="002E5EB3" w:rsidRDefault="00000000">
      <w:pPr>
        <w:ind w:left="480" w:hanging="480"/>
        <w:jc w:val="both"/>
      </w:pPr>
      <w:r>
        <w:t xml:space="preserve">OpenAI. (2026). </w:t>
      </w:r>
      <w:r>
        <w:rPr>
          <w:i/>
          <w:iCs/>
        </w:rPr>
        <w:t>Whisper-1 model</w:t>
      </w:r>
      <w:r>
        <w:t>. OpenAI API documentation. https://developers.openai.com/api/docs/models/whisper-1</w:t>
      </w:r>
    </w:p>
    <w:p w14:paraId="6C5AC8CC" w14:textId="77777777" w:rsidR="002E5EB3" w:rsidRDefault="00000000">
      <w:pPr>
        <w:ind w:left="480" w:hanging="480"/>
        <w:jc w:val="both"/>
      </w:pPr>
      <w:r>
        <w:t xml:space="preserve">Radford, A., Kim, J. W., Xu, T., Brockman, G., McLeavey, C., &amp; </w:t>
      </w:r>
      <w:proofErr w:type="spellStart"/>
      <w:r>
        <w:t>Sutskever</w:t>
      </w:r>
      <w:proofErr w:type="spellEnd"/>
      <w:r>
        <w:t xml:space="preserve">, I. (2022). </w:t>
      </w:r>
      <w:r>
        <w:rPr>
          <w:i/>
          <w:iCs/>
        </w:rPr>
        <w:t>Robust speech recognition via large-scale weak supervision</w:t>
      </w:r>
      <w:r>
        <w:t xml:space="preserve"> (arXiv:2212.04356). </w:t>
      </w:r>
      <w:proofErr w:type="spellStart"/>
      <w:r>
        <w:t>arXiv</w:t>
      </w:r>
      <w:proofErr w:type="spellEnd"/>
      <w:r>
        <w:t>. https://doi.org/10.48550/arXiv.2212.04356</w:t>
      </w:r>
    </w:p>
    <w:p w14:paraId="71D6245B" w14:textId="77777777" w:rsidR="002E5EB3" w:rsidRDefault="00000000">
      <w:pPr>
        <w:ind w:left="480" w:hanging="480"/>
        <w:jc w:val="both"/>
      </w:pPr>
      <w:r>
        <w:t xml:space="preserve">UNESCO. (2021). </w:t>
      </w:r>
      <w:r>
        <w:rPr>
          <w:i/>
          <w:iCs/>
        </w:rPr>
        <w:t>AI and education: Guidance for policy-makers</w:t>
      </w:r>
      <w:r>
        <w:t>. UNESCO. https://www.unesco.org/en/articles/ai-and-education-guidance-policy-makers</w:t>
      </w:r>
    </w:p>
    <w:p w14:paraId="3F3DA6C7" w14:textId="77777777" w:rsidR="002E5EB3" w:rsidRDefault="00000000">
      <w:pPr>
        <w:ind w:left="480" w:hanging="480"/>
        <w:jc w:val="both"/>
      </w:pPr>
      <w:r>
        <w:t xml:space="preserve">UNESCO. (2023). </w:t>
      </w:r>
      <w:r>
        <w:rPr>
          <w:i/>
          <w:iCs/>
        </w:rPr>
        <w:t>Guidance for generative AI in education and research</w:t>
      </w:r>
      <w:r>
        <w:t>. UNESCO. https://www.unesco.org/en/digital-education/ai-future-learning/guidance</w:t>
      </w:r>
    </w:p>
    <w:p w14:paraId="3B33F38A" w14:textId="77777777" w:rsidR="002E5EB3" w:rsidRDefault="00000000">
      <w:pPr>
        <w:ind w:left="480" w:hanging="480"/>
        <w:jc w:val="both"/>
      </w:pPr>
      <w:r>
        <w:t>United Nations. (2025). Goal 4: Ensure inclusive and equitable quality education and promote lifelong learning opportunities for all. https://sdgs.un.org/goals/goal4</w:t>
      </w:r>
    </w:p>
    <w:p w14:paraId="5312C767" w14:textId="77777777" w:rsidR="002E5EB3" w:rsidRDefault="00000000">
      <w:pPr>
        <w:ind w:left="480" w:hanging="480"/>
        <w:jc w:val="both"/>
      </w:pPr>
      <w:proofErr w:type="spellStart"/>
      <w:r>
        <w:t>Zarshenas</w:t>
      </w:r>
      <w:proofErr w:type="spellEnd"/>
      <w:r>
        <w:t xml:space="preserve">, L., Mehrabi, M., </w:t>
      </w:r>
      <w:proofErr w:type="spellStart"/>
      <w:r>
        <w:t>Karamdar</w:t>
      </w:r>
      <w:proofErr w:type="spellEnd"/>
      <w:r>
        <w:t xml:space="preserve">, L., et al. (2022). The effect of micro-learning on learning and self-efficacy of nursing students: An interventional study. </w:t>
      </w:r>
      <w:r>
        <w:rPr>
          <w:i/>
          <w:iCs/>
        </w:rPr>
        <w:t>BMC Medical Education, 22</w:t>
      </w:r>
      <w:r>
        <w:t>, 664. https://doi.org/10.1186/s12909-022-03726-8</w:t>
      </w:r>
    </w:p>
    <w:sectPr w:rsidR="002E5EB3">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73E74" w14:textId="77777777" w:rsidR="009B145F" w:rsidRDefault="009B145F">
      <w:r>
        <w:separator/>
      </w:r>
    </w:p>
  </w:endnote>
  <w:endnote w:type="continuationSeparator" w:id="0">
    <w:p w14:paraId="66FC6576" w14:textId="77777777" w:rsidR="009B145F" w:rsidRDefault="009B1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Gungsuh">
    <w:altName w:val="Gungsuh"/>
    <w:charset w:val="81"/>
    <w:family w:val="roman"/>
    <w:pitch w:val="variable"/>
    <w:sig w:usb0="B00002AF" w:usb1="69D77CFB" w:usb2="00000030" w:usb3="00000000" w:csb0="000800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7186" w14:textId="77777777" w:rsidR="002E5EB3" w:rsidRDefault="00000000">
    <w:pPr>
      <w:jc w:val="center"/>
    </w:pPr>
    <w:r>
      <w:rPr>
        <w:sz w:val="20"/>
        <w:szCs w:val="20"/>
      </w:rPr>
      <w:fldChar w:fldCharType="begin"/>
    </w:r>
    <w:r>
      <w:rPr>
        <w:sz w:val="20"/>
        <w:szCs w:val="20"/>
      </w:rPr>
      <w:instrText>PAGE</w:instrText>
    </w:r>
    <w:r>
      <w:rPr>
        <w:sz w:val="20"/>
        <w:szCs w:val="20"/>
      </w:rPr>
      <w:fldChar w:fldCharType="separate"/>
    </w:r>
    <w:r w:rsidR="0056532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5F62" w14:textId="77777777" w:rsidR="009B145F" w:rsidRDefault="009B145F">
      <w:r>
        <w:separator/>
      </w:r>
    </w:p>
  </w:footnote>
  <w:footnote w:type="continuationSeparator" w:id="0">
    <w:p w14:paraId="17C99C18" w14:textId="77777777" w:rsidR="009B145F" w:rsidRDefault="009B1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664A" w14:textId="77777777" w:rsidR="002E5EB3" w:rsidRDefault="002E5E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A2893"/>
    <w:multiLevelType w:val="hybridMultilevel"/>
    <w:tmpl w:val="DF787B84"/>
    <w:lvl w:ilvl="0" w:tplc="019282B0">
      <w:start w:val="1"/>
      <w:numFmt w:val="bullet"/>
      <w:lvlText w:val="●"/>
      <w:lvlJc w:val="left"/>
      <w:pPr>
        <w:ind w:left="720" w:hanging="360"/>
      </w:pPr>
    </w:lvl>
    <w:lvl w:ilvl="1" w:tplc="1A52061C">
      <w:start w:val="1"/>
      <w:numFmt w:val="bullet"/>
      <w:lvlText w:val="○"/>
      <w:lvlJc w:val="left"/>
      <w:pPr>
        <w:ind w:left="1440" w:hanging="360"/>
      </w:pPr>
    </w:lvl>
    <w:lvl w:ilvl="2" w:tplc="CB260A72">
      <w:start w:val="1"/>
      <w:numFmt w:val="bullet"/>
      <w:lvlText w:val="■"/>
      <w:lvlJc w:val="left"/>
      <w:pPr>
        <w:ind w:left="2160" w:hanging="360"/>
      </w:pPr>
    </w:lvl>
    <w:lvl w:ilvl="3" w:tplc="FDCC4546">
      <w:start w:val="1"/>
      <w:numFmt w:val="bullet"/>
      <w:lvlText w:val="●"/>
      <w:lvlJc w:val="left"/>
      <w:pPr>
        <w:ind w:left="2880" w:hanging="360"/>
      </w:pPr>
    </w:lvl>
    <w:lvl w:ilvl="4" w:tplc="15B03EA2">
      <w:start w:val="1"/>
      <w:numFmt w:val="bullet"/>
      <w:lvlText w:val="○"/>
      <w:lvlJc w:val="left"/>
      <w:pPr>
        <w:ind w:left="3600" w:hanging="360"/>
      </w:pPr>
    </w:lvl>
    <w:lvl w:ilvl="5" w:tplc="1A2C6A20">
      <w:start w:val="1"/>
      <w:numFmt w:val="bullet"/>
      <w:lvlText w:val="■"/>
      <w:lvlJc w:val="left"/>
      <w:pPr>
        <w:ind w:left="4320" w:hanging="360"/>
      </w:pPr>
    </w:lvl>
    <w:lvl w:ilvl="6" w:tplc="E44E3F7E">
      <w:start w:val="1"/>
      <w:numFmt w:val="bullet"/>
      <w:lvlText w:val="●"/>
      <w:lvlJc w:val="left"/>
      <w:pPr>
        <w:ind w:left="5040" w:hanging="360"/>
      </w:pPr>
    </w:lvl>
    <w:lvl w:ilvl="7" w:tplc="3D4841AE">
      <w:start w:val="1"/>
      <w:numFmt w:val="bullet"/>
      <w:lvlText w:val="●"/>
      <w:lvlJc w:val="left"/>
      <w:pPr>
        <w:ind w:left="5760" w:hanging="360"/>
      </w:pPr>
    </w:lvl>
    <w:lvl w:ilvl="8" w:tplc="14985360">
      <w:start w:val="1"/>
      <w:numFmt w:val="bullet"/>
      <w:lvlText w:val="●"/>
      <w:lvlJc w:val="left"/>
      <w:pPr>
        <w:ind w:left="6480" w:hanging="360"/>
      </w:pPr>
    </w:lvl>
  </w:abstractNum>
  <w:num w:numId="1" w16cid:durableId="1423718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EB3"/>
    <w:rsid w:val="002E5EB3"/>
    <w:rsid w:val="00565324"/>
    <w:rsid w:val="009B145F"/>
    <w:rsid w:val="00DE35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502E"/>
  <w15:docId w15:val="{D17F6653-1EBF-40D3-9C6D-82FCF78D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1573</Words>
  <Characters>8972</Characters>
  <Application>Microsoft Office Word</Application>
  <DocSecurity>0</DocSecurity>
  <Lines>74</Lines>
  <Paragraphs>21</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家瑜 張</cp:lastModifiedBy>
  <cp:revision>2</cp:revision>
  <dcterms:created xsi:type="dcterms:W3CDTF">2026-03-20T14:05:00Z</dcterms:created>
  <dcterms:modified xsi:type="dcterms:W3CDTF">2026-03-20T14:05:00Z</dcterms:modified>
</cp:coreProperties>
</file>