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00"/>
      </w:pPr>
      <w:r>
        <w:rPr>
          <w:rFonts w:ascii="Noto Sans SC Thin" w:hAnsi="Noto Sans SC Thin" w:eastAsia="Noto Sans SC Thin"/>
          <w:b/>
          <w:i w:val="0"/>
          <w:color w:val="3B7772"/>
          <w:sz w:val="22"/>
        </w:rPr>
        <w:t>社会学每日精读  ·  第 01 期</w:t>
      </w:r>
    </w:p>
    <w:p>
      <w:pPr>
        <w:spacing w:after="200"/>
      </w:pPr>
      <w:r>
        <w:rPr>
          <w:rFonts w:ascii="Noto Sans SC Thin" w:hAnsi="Noto Sans SC Thin" w:eastAsia="Noto Sans SC Thin"/>
          <w:b/>
          <w:i w:val="0"/>
          <w:color w:val="183342"/>
          <w:sz w:val="56"/>
        </w:rPr>
        <w:t>两种仪式之间</w:t>
      </w:r>
    </w:p>
    <w:p>
      <w:pPr>
        <w:spacing w:after="360"/>
      </w:pPr>
      <w:r>
        <w:rPr>
          <w:rFonts w:ascii="Noto Sans SC Thin" w:hAnsi="Noto Sans SC Thin" w:eastAsia="Noto Sans SC Thin"/>
          <w:b w:val="0"/>
          <w:i w:val="0"/>
          <w:color w:val="244A64"/>
          <w:sz w:val="32"/>
        </w:rPr>
        <w:t>面子与集体欢腾，如何共同构成社会生活的时刻</w:t>
      </w:r>
    </w:p>
    <w:p>
      <w:pPr>
        <w:spacing w:after="40"/>
      </w:pPr>
      <w:r>
        <w:rPr>
          <w:rFonts w:ascii="Noto Sans SC Thin" w:hAnsi="Noto Sans SC Thin" w:eastAsia="Noto Sans SC Thin"/>
          <w:b/>
          <w:i w:val="0"/>
          <w:color w:val="66747C"/>
          <w:sz w:val="18"/>
        </w:rPr>
        <w:t>精读对象</w:t>
      </w:r>
    </w:p>
    <w:p>
      <w:pPr>
        <w:spacing w:after="160"/>
      </w:pPr>
      <w:r>
        <w:rPr>
          <w:rFonts w:ascii="Noto Sans SC Thin" w:hAnsi="Noto Sans SC Thin" w:eastAsia="Noto Sans SC Thin"/>
          <w:b/>
          <w:i/>
          <w:color w:val="183342"/>
          <w:sz w:val="24"/>
        </w:rPr>
        <w:t>Between Two Rituals: Face and Effervescence as Moments of Social Life</w:t>
      </w:r>
    </w:p>
    <w:p>
      <w:pPr>
        <w:spacing w:after="60"/>
      </w:pPr>
      <w:r>
        <w:rPr>
          <w:rFonts w:ascii="Noto Sans SC Thin" w:hAnsi="Noto Sans SC Thin" w:eastAsia="Noto Sans SC Thin"/>
          <w:b w:val="0"/>
          <w:i w:val="0"/>
          <w:color w:val="66747C"/>
          <w:sz w:val="20"/>
        </w:rPr>
        <w:t>作者：Anders Vassenden、Nicholas Hoynes、Taylor Price、Iddo Tavory</w:t>
      </w:r>
    </w:p>
    <w:p>
      <w:pPr>
        <w:spacing w:after="60"/>
      </w:pPr>
      <w:r>
        <w:rPr>
          <w:rFonts w:ascii="Noto Sans SC Thin" w:hAnsi="Noto Sans SC Thin" w:eastAsia="Noto Sans SC Thin"/>
          <w:b w:val="0"/>
          <w:i w:val="0"/>
          <w:color w:val="66747C"/>
          <w:sz w:val="20"/>
        </w:rPr>
        <w:t>期刊：American Sociological Review，91(3)，379–404</w:t>
      </w:r>
    </w:p>
    <w:p>
      <w:pPr>
        <w:spacing w:after="60"/>
      </w:pPr>
      <w:r>
        <w:rPr>
          <w:rFonts w:ascii="Noto Sans SC Thin" w:hAnsi="Noto Sans SC Thin" w:eastAsia="Noto Sans SC Thin"/>
          <w:b w:val="0"/>
          <w:i w:val="0"/>
          <w:color w:val="66747C"/>
          <w:sz w:val="20"/>
        </w:rPr>
        <w:t>首次在线发表：2026-05-21  ·  开放获取（CC BY 4.0）</w:t>
      </w:r>
    </w:p>
    <w:p>
      <w:pPr>
        <w:spacing w:after="60"/>
      </w:pPr>
      <w:r>
        <w:rPr>
          <w:rFonts w:ascii="Noto Sans SC Thin" w:hAnsi="Noto Sans SC Thin" w:eastAsia="Noto Sans SC Thin"/>
          <w:b w:val="0"/>
          <w:i w:val="0"/>
          <w:color w:val="66747C"/>
          <w:sz w:val="20"/>
        </w:rPr>
        <w:t>精读日期：2026-07-10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072"/>
            <w:shd w:fill="EEF4F4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40" w:line="288" w:lineRule="auto"/>
            </w:pPr>
            <w:r>
              <w:rPr>
                <w:rFonts w:ascii="Noto Sans SC Thin" w:hAnsi="Noto Sans SC Thin" w:eastAsia="Noto Sans SC Thin"/>
                <w:b/>
                <w:i w:val="0"/>
                <w:color w:val="3B7772"/>
                <w:sz w:val="21"/>
              </w:rPr>
              <w:t xml:space="preserve">今日核心判断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21"/>
              </w:rPr>
              <w:t>这篇文章最值得学习的，不是“戈夫曼与柯林斯分别说了什么”，而是作者如何把理论分歧转化为可观察的经验问题，再利用两个异质案例建立一个可迁移的分析模型。</w:t>
            </w:r>
          </w:p>
        </w:tc>
      </w:tr>
    </w:tbl>
    <w:p>
      <w:pPr>
        <w:spacing w:after="20"/>
      </w:pPr>
    </w:p>
    <w:p>
      <w:pPr>
        <w:spacing w:before="180" w:after="60"/>
      </w:pPr>
      <w:r>
        <w:rPr>
          <w:rFonts w:ascii="Noto Sans SC Thin" w:hAnsi="Noto Sans SC Thin" w:eastAsia="Noto Sans SC Thin"/>
          <w:b/>
          <w:i w:val="0"/>
          <w:color w:val="66747C"/>
          <w:sz w:val="18"/>
        </w:rPr>
        <w:t>建议阅读时间</w:t>
      </w:r>
      <w:r>
        <w:rPr>
          <w:rFonts w:ascii="Noto Sans SC Thin" w:hAnsi="Noto Sans SC Thin" w:eastAsia="Noto Sans SC Thin"/>
          <w:b w:val="0"/>
          <w:i w:val="0"/>
          <w:color w:val="183342"/>
          <w:sz w:val="21"/>
        </w:rPr>
        <w:t xml:space="preserve"> 45–60 分钟：先读本精读的“论证地图”，再回到原文阅读方法与两个经验分析部分。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183342"/>
          <w:sz w:val="32"/>
        </w:rPr>
        <w:t>一、今日论文与推荐理由</w:t>
      </w:r>
    </w:p>
    <w:p>
      <w:pPr>
        <w:spacing w:after="120" w:line="324" w:lineRule="auto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这是一篇发表于美国社会学会旗舰期刊《American Sociological Review》（ASR）的理论—经验型研究论文。文章开放获取，能够核对全文、方法、材料和结论。ASR 页面显示该文收录于第91卷第3期，页码379—404，DOI为10.1177/00031224261441865。</w:t>
      </w:r>
    </w:p>
    <w:p>
      <w:pPr>
        <w:pStyle w:val="Heading2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244A64"/>
          <w:sz w:val="26"/>
        </w:rPr>
        <w:t>为什么把它作为第一篇？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它展示了理论创新的一条现实路径：并非凭空创造新概念，而是先发现两个经典理论共享同一术语却解释不同过程。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它将两个来源、场景和资料形态差异很大的质性项目放在一起，形成“异质案例对话”，适合学习如何从材料中的意外发现上升到理论问题。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它兼具微观互动与宏观关怀：从尴尬、回避、尊重、兴奋等现场过程，推到族群边界、社会运动、组织承诺等中观与宏观后果。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方法公开透明：交代样本、招募、访谈者位置、情境短文、编码过程、参与观察、录音录像及资料限制，适合训练质性研究阅读能力。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072"/>
            <w:shd w:fill="F8F2EA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40" w:line="288" w:lineRule="auto"/>
            </w:pPr>
            <w:r>
              <w:rPr>
                <w:rFonts w:ascii="Noto Sans SC Thin" w:hAnsi="Noto Sans SC Thin" w:eastAsia="Noto Sans SC Thin"/>
                <w:b/>
                <w:i w:val="0"/>
                <w:color w:val="3B7772"/>
                <w:sz w:val="21"/>
              </w:rPr>
              <w:t xml:space="preserve">阅读警惕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21"/>
              </w:rPr>
              <w:t>这篇论文的主要贡献是“概念区分 + 关系模型”，两个经验案例更接近理论展示（empirical demonstrations），不宜把它误读为对所有互动场景的普遍因果证明。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183342"/>
          <w:sz w:val="32"/>
        </w:rPr>
        <w:t>二、研究背景与核心问题</w:t>
      </w:r>
    </w:p>
    <w:p>
      <w:pPr>
        <w:spacing w:after="120" w:line="324" w:lineRule="auto"/>
        <w:ind w:firstLine="420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作者从一个概念上的“不协调”切入：社会学不同分支都在使用“互动仪式”解释歧视、社会运动、暴力、创造力等现象，但这个术语在戈夫曼和兰德尔·柯林斯那里实际上指向不同机制。两者都受涂尔干启发，却把目光投向了不同的社会时刻。</w:t>
      </w:r>
    </w:p>
    <w:p>
      <w:pPr>
        <w:pStyle w:val="Heading2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244A64"/>
          <w:sz w:val="26"/>
        </w:rPr>
        <w:t>核心研究问题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“面子仪式”与“集体欢腾仪式”究竟有什么区别？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两类仪式在不同社会情境中如何分离、转换或相互支撑？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如果将两者区分开，能否更好地解释歧视、创造性合作乃至社会运动等更大尺度过程？</w:t>
      </w:r>
    </w:p>
    <w:p>
      <w:pPr>
        <w:pStyle w:val="Heading2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244A64"/>
          <w:sz w:val="26"/>
        </w:rPr>
        <w:t>问题意识的三个层次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2088"/>
            <w:shd w:fill="244A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9"/>
              </w:rPr>
              <w:t>层次</w:t>
            </w:r>
          </w:p>
        </w:tc>
        <w:tc>
          <w:tcPr>
            <w:tcW w:type="dxa" w:w="3312"/>
            <w:shd w:fill="244A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9"/>
              </w:rPr>
              <w:t>问题</w:t>
            </w:r>
          </w:p>
        </w:tc>
        <w:tc>
          <w:tcPr>
            <w:tcW w:type="dxa" w:w="3672"/>
            <w:shd w:fill="244A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9"/>
              </w:rPr>
              <w:t>作者的处理</w:t>
            </w:r>
          </w:p>
        </w:tc>
      </w:tr>
      <w:tr>
        <w:tc>
          <w:tcPr>
            <w:tcW w:type="dxa" w:w="20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19"/>
              </w:rPr>
              <w:t>概念层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19"/>
              </w:rPr>
              <w:t>同一术语内部含义分裂</w:t>
            </w:r>
          </w:p>
        </w:tc>
        <w:tc>
          <w:tcPr>
            <w:tcW w:type="dxa" w:w="36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19"/>
              </w:rPr>
              <w:t>命名并区分两种互动仪式</w:t>
            </w:r>
          </w:p>
        </w:tc>
      </w:tr>
      <w:tr>
        <w:tc>
          <w:tcPr>
            <w:tcW w:type="dxa" w:w="20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19"/>
              </w:rPr>
              <w:t>情境层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19"/>
              </w:rPr>
              <w:t>现实互动并非只由一种仪式主导</w:t>
            </w:r>
          </w:p>
        </w:tc>
        <w:tc>
          <w:tcPr>
            <w:tcW w:type="dxa" w:w="36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19"/>
              </w:rPr>
              <w:t>考察分离、顺序与反馈关系</w:t>
            </w:r>
          </w:p>
        </w:tc>
      </w:tr>
      <w:tr>
        <w:tc>
          <w:tcPr>
            <w:tcW w:type="dxa" w:w="20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19"/>
              </w:rPr>
              <w:t>尺度层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19"/>
              </w:rPr>
              <w:t>微观互动如何累积为更大结构</w:t>
            </w:r>
          </w:p>
        </w:tc>
        <w:tc>
          <w:tcPr>
            <w:tcW w:type="dxa" w:w="36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19"/>
              </w:rPr>
              <w:t>提出仪式轨迹与网络边界的推论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183342"/>
          <w:sz w:val="32"/>
        </w:rPr>
        <w:t>三、选题是如何形成的</w:t>
      </w:r>
    </w:p>
    <w:p>
      <w:pPr>
        <w:pStyle w:val="Heading2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244A64"/>
          <w:sz w:val="26"/>
        </w:rPr>
        <w:t>1. 从“术语一致”中发现“机制不一致”</w:t>
      </w:r>
    </w:p>
    <w:p>
      <w:pPr>
        <w:spacing w:after="120" w:line="324" w:lineRule="auto"/>
        <w:ind w:firstLine="420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多数初学者会把文献综述写成“甲说了什么、乙说了什么”。本文更进一步：作者不满足于罗列戈夫曼与柯林斯，而是追问两人的“互动仪式”是否真是同一个解释对象。戈夫曼关注行动者如何维护自己与他人的面子、避免情境失序；柯林斯则关注共同注意、共享情绪和身体共在如何产生情绪能量与团结。文献分歧因此被转译成一个可经验观察的机制问题。</w:t>
      </w:r>
    </w:p>
    <w:p>
      <w:pPr>
        <w:pStyle w:val="Heading2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244A64"/>
          <w:sz w:val="26"/>
        </w:rPr>
        <w:t>2. 从材料中的“理论意外”形成共同问题</w:t>
      </w:r>
    </w:p>
    <w:p>
      <w:pPr>
        <w:spacing w:after="120" w:line="324" w:lineRule="auto"/>
        <w:ind w:firstLine="420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两个研究原本各自独立：一个研究挪威少数族裔如何谈论族裔污名，另一个研究多伦多歌曲创作现场。作者发现，两组材料都不能只靠一种互动仪式解释。少数族裔在多数族群面前常做面子维护，在少数族群内部却可能形成共同情绪；音乐人先通过尊重与克制保护彼此，再进入兴奋、同步的创作状态。作者把这种与原有预期不完全一致的发现称为“理论意外”，并据此重新组织选题。</w:t>
      </w:r>
    </w:p>
    <w:p>
      <w:pPr>
        <w:pStyle w:val="Heading2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244A64"/>
          <w:sz w:val="26"/>
        </w:rPr>
        <w:t>3. 用最大差异提高概念的可迁移性</w:t>
      </w:r>
    </w:p>
    <w:p>
      <w:pPr>
        <w:spacing w:after="120" w:line="324" w:lineRule="auto"/>
        <w:ind w:firstLine="420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族裔污名与歌曲创作表面上毫不相干。正因为差异大，若两者都呈现“面子—欢腾”的组合，概念区分就不只是某一专题的局部发现。作者不是用两个案例互相复制，而是让它们分别揭示两种关系：第一个案例显示仪式随受众而分隔，第二个案例显示仪式在同一情境中递归循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072"/>
            <w:shd w:fill="EEF4F4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40" w:line="288" w:lineRule="auto"/>
            </w:pPr>
            <w:r>
              <w:rPr>
                <w:rFonts w:ascii="Noto Sans SC Thin" w:hAnsi="Noto Sans SC Thin" w:eastAsia="Noto Sans SC Thin"/>
                <w:b/>
                <w:i w:val="0"/>
                <w:color w:val="3B7772"/>
                <w:sz w:val="21"/>
              </w:rPr>
              <w:t xml:space="preserve">可借鉴的选题公式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21"/>
              </w:rPr>
              <w:t>经典概念的内部张力 × 经验材料中的意外 × 两个能揭示不同关系的案例 → 一个具有迁移潜力的中层理论问题。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183342"/>
          <w:sz w:val="32"/>
        </w:rPr>
        <w:t>四、全文结构拆解</w:t>
      </w:r>
    </w:p>
    <w:p>
      <w:pPr>
        <w:keepNext w:val="0"/>
        <w:spacing w:after="100"/>
      </w:pPr>
      <w:r>
        <w:rPr>
          <w:rFonts w:ascii="Noto Sans SC Thin" w:hAnsi="Noto Sans SC Thin" w:eastAsia="Noto Sans SC Thin"/>
          <w:b/>
          <w:i w:val="0"/>
          <w:color w:val="3B7772"/>
          <w:sz w:val="21"/>
        </w:rPr>
        <w:t>01  提出缺口</w:t>
      </w:r>
      <w:r>
        <w:rPr>
          <w:rFonts w:ascii="Noto Sans SC Thin" w:hAnsi="Noto Sans SC Thin" w:eastAsia="Noto Sans SC Thin"/>
          <w:b w:val="0"/>
          <w:i w:val="0"/>
          <w:color w:val="183342"/>
          <w:sz w:val="21"/>
        </w:rPr>
        <w:t xml:space="preserve">  社会学广泛使用互动仪式，却常把戈夫曼与柯林斯的不同机制混为一谈。</w:t>
      </w:r>
    </w:p>
    <w:p>
      <w:pPr>
        <w:keepNext w:val="0"/>
        <w:spacing w:after="100"/>
      </w:pPr>
      <w:r>
        <w:rPr>
          <w:rFonts w:ascii="Noto Sans SC Thin" w:hAnsi="Noto Sans SC Thin" w:eastAsia="Noto Sans SC Thin"/>
          <w:b/>
          <w:i w:val="0"/>
          <w:color w:val="3B7772"/>
          <w:sz w:val="21"/>
        </w:rPr>
        <w:t>02  概念区分</w:t>
      </w:r>
      <w:r>
        <w:rPr>
          <w:rFonts w:ascii="Noto Sans SC Thin" w:hAnsi="Noto Sans SC Thin" w:eastAsia="Noto Sans SC Thin"/>
          <w:b w:val="0"/>
          <w:i w:val="0"/>
          <w:color w:val="183342"/>
          <w:sz w:val="21"/>
        </w:rPr>
        <w:t xml:space="preserve">  把维护神圣自我与情境秩序的过程命名为“面子仪式”，把产生共同注意、共享情绪和团结的过程命名为“集体欢腾仪式”。</w:t>
      </w:r>
    </w:p>
    <w:p>
      <w:pPr>
        <w:keepNext w:val="0"/>
        <w:spacing w:after="100"/>
      </w:pPr>
      <w:r>
        <w:rPr>
          <w:rFonts w:ascii="Noto Sans SC Thin" w:hAnsi="Noto Sans SC Thin" w:eastAsia="Noto Sans SC Thin"/>
          <w:b/>
          <w:i w:val="0"/>
          <w:color w:val="3B7772"/>
          <w:sz w:val="21"/>
        </w:rPr>
        <w:t>03  交代材料</w:t>
      </w:r>
      <w:r>
        <w:rPr>
          <w:rFonts w:ascii="Noto Sans SC Thin" w:hAnsi="Noto Sans SC Thin" w:eastAsia="Noto Sans SC Thin"/>
          <w:b w:val="0"/>
          <w:i w:val="0"/>
          <w:color w:val="183342"/>
          <w:sz w:val="21"/>
        </w:rPr>
        <w:t xml:space="preserve">  说明两个独立质性项目的样本、收集方式、研究者位置、编码与局限。</w:t>
      </w:r>
    </w:p>
    <w:p>
      <w:pPr>
        <w:keepNext w:val="0"/>
        <w:spacing w:after="100"/>
      </w:pPr>
      <w:r>
        <w:rPr>
          <w:rFonts w:ascii="Noto Sans SC Thin" w:hAnsi="Noto Sans SC Thin" w:eastAsia="Noto Sans SC Thin"/>
          <w:b/>
          <w:i w:val="0"/>
          <w:color w:val="3B7772"/>
          <w:sz w:val="21"/>
        </w:rPr>
        <w:t>04  案例一：分隔</w:t>
      </w:r>
      <w:r>
        <w:rPr>
          <w:rFonts w:ascii="Noto Sans SC Thin" w:hAnsi="Noto Sans SC Thin" w:eastAsia="Noto Sans SC Thin"/>
          <w:b w:val="0"/>
          <w:i w:val="0"/>
          <w:color w:val="183342"/>
          <w:sz w:val="21"/>
        </w:rPr>
        <w:t xml:space="preserve">  分析少数族裔如何针对多数/少数受众采取不同的叙述与情绪呈现，提出“受众分隔—仪式分隔”。</w:t>
      </w:r>
    </w:p>
    <w:p>
      <w:pPr>
        <w:keepNext w:val="0"/>
        <w:spacing w:after="100"/>
      </w:pPr>
      <w:r>
        <w:rPr>
          <w:rFonts w:ascii="Noto Sans SC Thin" w:hAnsi="Noto Sans SC Thin" w:eastAsia="Noto Sans SC Thin"/>
          <w:b/>
          <w:i w:val="0"/>
          <w:color w:val="3B7772"/>
          <w:sz w:val="21"/>
        </w:rPr>
        <w:t>05  案例二：递归</w:t>
      </w:r>
      <w:r>
        <w:rPr>
          <w:rFonts w:ascii="Noto Sans SC Thin" w:hAnsi="Noto Sans SC Thin" w:eastAsia="Noto Sans SC Thin"/>
          <w:b w:val="0"/>
          <w:i w:val="0"/>
          <w:color w:val="183342"/>
          <w:sz w:val="21"/>
        </w:rPr>
        <w:t xml:space="preserve">  跟踪歌曲创作的互动轨迹：尊重和面子维护为冒险表达创造安全，兴奋又鼓励进一步暴露脆弱想法。</w:t>
      </w:r>
    </w:p>
    <w:p>
      <w:pPr>
        <w:keepNext w:val="0"/>
        <w:spacing w:after="100"/>
      </w:pPr>
      <w:r>
        <w:rPr>
          <w:rFonts w:ascii="Noto Sans SC Thin" w:hAnsi="Noto Sans SC Thin" w:eastAsia="Noto Sans SC Thin"/>
          <w:b/>
          <w:i w:val="0"/>
          <w:color w:val="3B7772"/>
          <w:sz w:val="21"/>
        </w:rPr>
        <w:t>06  理论外推</w:t>
      </w:r>
      <w:r>
        <w:rPr>
          <w:rFonts w:ascii="Noto Sans SC Thin" w:hAnsi="Noto Sans SC Thin" w:eastAsia="Noto Sans SC Thin"/>
          <w:b w:val="0"/>
          <w:i w:val="0"/>
          <w:color w:val="183342"/>
          <w:sz w:val="21"/>
        </w:rPr>
        <w:t xml:space="preserve">  将模型用于社会运动、工作组织和关系变化，提出研究“仪式轨迹”的议程。</w:t>
      </w:r>
    </w:p>
    <w:p>
      <w:pPr>
        <w:pStyle w:val="Heading2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244A64"/>
          <w:sz w:val="26"/>
        </w:rPr>
        <w:t>一眼看懂论证链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072"/>
            <w:shd w:fill="EEF4F4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40" w:line="288" w:lineRule="auto"/>
            </w:pPr>
            <w:r>
              <w:rPr>
                <w:rFonts w:ascii="Noto Sans SC Thin" w:hAnsi="Noto Sans SC Thin" w:eastAsia="Noto Sans SC Thin"/>
                <w:b/>
                <w:i w:val="0"/>
                <w:color w:val="3B7772"/>
                <w:sz w:val="21"/>
              </w:rPr>
              <w:t xml:space="preserve">论证地图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21"/>
              </w:rPr>
              <w:t>概念混用 → 区分两种机制 → 用案例一识别“跨情境分隔” → 用案例二识别“情境内递归” → 提出仪式轨迹 → 推向族群边界、社会运动与组织过程。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183342"/>
          <w:sz w:val="32"/>
        </w:rPr>
        <w:t>五、理论框架与核心概念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2088"/>
            <w:shd w:fill="3B777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8"/>
              </w:rPr>
              <w:t>概念</w:t>
            </w:r>
          </w:p>
        </w:tc>
        <w:tc>
          <w:tcPr>
            <w:tcW w:type="dxa" w:w="3384"/>
            <w:shd w:fill="3B777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8"/>
              </w:rPr>
              <w:t>核心含义</w:t>
            </w:r>
          </w:p>
        </w:tc>
        <w:tc>
          <w:tcPr>
            <w:tcW w:type="dxa" w:w="3600"/>
            <w:shd w:fill="3B777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8"/>
              </w:rPr>
              <w:t>经验识别线索</w:t>
            </w:r>
          </w:p>
        </w:tc>
      </w:tr>
      <w:tr>
        <w:tc>
          <w:tcPr>
            <w:tcW w:type="dxa" w:w="20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18"/>
              </w:rPr>
              <w:t>面子仪式</w:t>
            </w:r>
          </w:p>
        </w:tc>
        <w:tc>
          <w:tcPr>
            <w:tcW w:type="dxa" w:w="33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18"/>
              </w:rPr>
              <w:t>保护自我与他人的道德价值，维持可继续的互动秩序。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18"/>
              </w:rPr>
              <w:t>回避冲突、礼貌、克制、补救、给台阶、避免羞辱。</w:t>
            </w:r>
          </w:p>
        </w:tc>
      </w:tr>
      <w:tr>
        <w:tc>
          <w:tcPr>
            <w:tcW w:type="dxa" w:w="20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18"/>
              </w:rPr>
              <w:t>集体欢腾仪式</w:t>
            </w:r>
          </w:p>
        </w:tc>
        <w:tc>
          <w:tcPr>
            <w:tcW w:type="dxa" w:w="33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18"/>
              </w:rPr>
              <w:t>共同注意与共享情绪相互强化，产生团结和情绪能量。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18"/>
              </w:rPr>
              <w:t>同步、兴奋、笑声、身体节奏、共同焦点、继续参与的动力。</w:t>
            </w:r>
          </w:p>
        </w:tc>
      </w:tr>
      <w:tr>
        <w:tc>
          <w:tcPr>
            <w:tcW w:type="dxa" w:w="20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18"/>
              </w:rPr>
              <w:t>受众/仪式分隔</w:t>
            </w:r>
          </w:p>
        </w:tc>
        <w:tc>
          <w:tcPr>
            <w:tcW w:type="dxa" w:w="33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18"/>
              </w:rPr>
              <w:t>面对不同群体时，行动者进入不同的仪式结构。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18"/>
              </w:rPr>
              <w:t>对多数群体淡化或平滑处理；对同类群体充分表达并形成共鸣。</w:t>
            </w:r>
          </w:p>
        </w:tc>
      </w:tr>
      <w:tr>
        <w:tc>
          <w:tcPr>
            <w:tcW w:type="dxa" w:w="20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18"/>
              </w:rPr>
              <w:t>仪式轨迹</w:t>
            </w:r>
          </w:p>
        </w:tc>
        <w:tc>
          <w:tcPr>
            <w:tcW w:type="dxa" w:w="33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18"/>
              </w:rPr>
              <w:t>不同仪式按可识别的顺序和反馈关系展开。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18"/>
              </w:rPr>
              <w:t>面子维护→安全感→冒险表达→欢腾→更大胆表达。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244A64"/>
          <w:sz w:val="26"/>
        </w:rPr>
        <w:t>作者真正的理论贡献</w:t>
      </w:r>
    </w:p>
    <w:p>
      <w:pPr>
        <w:spacing w:after="120" w:line="324" w:lineRule="auto"/>
        <w:ind w:firstLine="420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贡献不只是创造两个中文可译名，而是把“仪式”从一个笼统标签改造成关系性分析工具。研究者需要继续追问：此刻是哪一种仪式？行动者面对谁？两类仪式是分隔、接续、互相强化，还是发生失败？这种变化怎样跨越多个情境积累？</w:t>
      </w:r>
    </w:p>
    <w:p>
      <w:pPr>
        <w:pStyle w:val="Heading1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183342"/>
          <w:sz w:val="32"/>
        </w:rPr>
        <w:t>六、数据、研究方法与分析单位</w:t>
      </w:r>
    </w:p>
    <w:p>
      <w:pPr>
        <w:pStyle w:val="Heading2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244A64"/>
          <w:sz w:val="26"/>
        </w:rPr>
        <w:t>案例一：挪威族裔污名研究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资料：2021年5月至2025年9月，对32人开展39次深度访谈；29人为在表型或宗教服饰上被少数化的挪威人。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构成：13名索马里裔挪威人；年龄中位数34岁；21名女性；多数受过高等教育。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招募：扩展关系网络、滚雪球和LinkedIn；线上Teams与面对面访谈并用。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研究者反身性：由白人挪威男性研究者与索马里背景女性研究者轮换访谈，以考察研究者族裔位置对回答的影响。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引导技术：开放式提问结合情境短文；短文用于唤起真实经验，而非把对短文的反应直接当作研究对象。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分析：研究者先独立熟悉文本、写备忘录，再共同形成主题与分类，包括污名情境、类型、反应及面对多数/少数受众的后台重述。</w:t>
      </w:r>
    </w:p>
    <w:p>
      <w:pPr>
        <w:pStyle w:val="Heading2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244A64"/>
          <w:sz w:val="26"/>
        </w:rPr>
        <w:t>案例二：多伦多歌曲创作民族志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场域：由20名歌曲创作者组成的松散合作网络，涵盖流行、摇滚和R&amp;B；16男4女，年龄约20岁出头至30岁中期。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观察：三年参与观察，共47场创作，单场30分钟至4小时；连同前后社交，每次通常3—5小时。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多模态资料：25场创作有音视频记录，累计超过30小时；另有田野笔记、37次1—2小时深访及休息时的田野访谈。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编码：对轮流发言、热情、犹豫和情境修复等互动片段编码，并追踪创作后合作关系的加深或松动。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优势：录像能够捕捉停顿、身体姿态、节奏与即时修复，使“仪式轨迹”成为可观察对象。</w:t>
      </w:r>
    </w:p>
    <w:p>
      <w:pPr>
        <w:pStyle w:val="Heading2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244A64"/>
          <w:sz w:val="26"/>
        </w:rPr>
        <w:t>关键的方法论判断：分析单位是“情境”</w:t>
      </w:r>
    </w:p>
    <w:p>
      <w:pPr>
        <w:spacing w:after="120" w:line="324" w:lineRule="auto"/>
        <w:ind w:firstLine="420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文章并不主要比较“哪类人更重视面子”，而是分析同一行动者在不同受众、不同互动阶段中如何进入不同仪式。因此，行动者只是轨迹的参与者，具体社会情境及其前后连接才是更核心的分析单位。这是从心理特质解释转向关系—过程解释的关键。</w:t>
      </w:r>
    </w:p>
    <w:p>
      <w:pPr>
        <w:pStyle w:val="Heading1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183342"/>
          <w:sz w:val="32"/>
        </w:rPr>
        <w:t>七、分析思路与论证链条</w:t>
      </w:r>
    </w:p>
    <w:p>
      <w:pPr>
        <w:pStyle w:val="Heading2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244A64"/>
          <w:sz w:val="26"/>
        </w:rPr>
        <w:t>案例一：从污名事件到仪式分隔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起点：含混的微歧视损害接受者的道德价值，但直接指出歧视也可能让对方失去面子并使互动破裂。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现场处理：受访者常选择淡化、平滑、非对抗回应，同时保护自己与对方的面子。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事后叙述：向多数族群讲述时仍会控制情绪、调整说法；向少数族群讲述时更可能充分表达，形成共同情绪与团结。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理论提升：受众分隔不仅是“跟谁说话”，而是把人带入不同的仪式结构；长期积累可能加强群体内部纽带和群际边界。</w:t>
      </w:r>
    </w:p>
    <w:p>
      <w:pPr>
        <w:pStyle w:val="Heading2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244A64"/>
          <w:sz w:val="26"/>
        </w:rPr>
        <w:t>案例二：从面子维护到创造性反馈循环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创造的脆弱性：未完成的旋律和歌词暴露能力与品味，参与者需要克制控制欲，并尊重他人的不完整想法。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面子仪式铺路：轮流、认可、委婉建议和修复降低风险，形成共同注意的条件。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欢腾出现：节奏、点头、笑声、即兴接续和共同兴奋增强情绪能量。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递归反馈：兴奋不是终点，它反过来鼓励更大胆的半成品表达；新的脆弱表达又需要面子维护。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反例检验：当尊重与修复失败时，共同焦点和共享情绪瓦解，创作停止。失败片段帮助作者说明机制，而不只是展示成功故事。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072"/>
            <w:shd w:fill="EEF4F4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40" w:line="288" w:lineRule="auto"/>
            </w:pPr>
            <w:r>
              <w:rPr>
                <w:rFonts w:ascii="Noto Sans SC Thin" w:hAnsi="Noto Sans SC Thin" w:eastAsia="Noto Sans SC Thin"/>
                <w:b/>
                <w:i w:val="0"/>
                <w:color w:val="3B7772"/>
                <w:sz w:val="21"/>
              </w:rPr>
              <w:t xml:space="preserve">最值得模仿的分析动作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21"/>
              </w:rPr>
              <w:t>作者没有把访谈引语或田野片段当作“例子摆放”，而是逐段标出机制：谁在保护谁的面子、共同注意如何形成、情绪何时同步、修复为何失败、前一时刻如何改变下一时刻。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183342"/>
          <w:sz w:val="32"/>
        </w:rPr>
        <w:t>八、主要结论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戈夫曼式面子仪式和柯林斯式集体欢腾仪式是不同的社会机制，不能继续笼统合并为一个“互动仪式”。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两种仪式可以跨受众分隔：少数族裔与多数族群互动时更重视面子维护，与少数族群互动时更可能形成共同情绪。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两种仪式也可以在同一情境内按顺序递归：面子维护为欢腾创造条件，欢腾又支撑新的脆弱表达和面子工作。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微观仪式的长期积累能够影响关系、网络和群体边界，并为理解社会运动、组织承诺与关系变迁提供分析框架。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未来研究应关注仪式的类型、顺序、节奏和时间变化，即研究“仪式轨迹”，而不是只判断某场互动是否属于仪式。</w:t>
      </w:r>
    </w:p>
    <w:p>
      <w:pPr>
        <w:pStyle w:val="Heading1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183342"/>
          <w:sz w:val="32"/>
        </w:rPr>
        <w:t>九、亮点与特色：它为什么像一篇好论文</w:t>
      </w:r>
    </w:p>
    <w:p>
      <w:pPr>
        <w:pStyle w:val="Heading2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244A64"/>
          <w:sz w:val="26"/>
        </w:rPr>
        <w:t>1. 选题：从经典理论的“细缝”进入</w:t>
      </w:r>
    </w:p>
    <w:p>
      <w:pPr>
        <w:spacing w:after="120" w:line="324" w:lineRule="auto"/>
        <w:ind w:firstLine="420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选题不靠追逐宏大热门概念，而是精读经典后发现一个长期被忽视的错位：同样的词被当成同样的机制。这个入口小，却能连接多个社会学分支。</w:t>
      </w:r>
    </w:p>
    <w:p>
      <w:pPr>
        <w:pStyle w:val="Heading2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244A64"/>
          <w:sz w:val="26"/>
        </w:rPr>
        <w:t>2. 结构：两个案例各司其职</w:t>
      </w:r>
    </w:p>
    <w:p>
      <w:pPr>
        <w:spacing w:after="120" w:line="324" w:lineRule="auto"/>
        <w:ind w:firstLine="420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两个案例不是重复证明同一句话。案例一回答“面对不同受众时如何分隔”，案例二回答“同一互动中如何递归”。这种分工使多案例论文避免材料堆积。</w:t>
      </w:r>
    </w:p>
    <w:p>
      <w:pPr>
        <w:pStyle w:val="Heading2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244A64"/>
          <w:sz w:val="26"/>
        </w:rPr>
        <w:t>3. 方法：资料形态与理论问题匹配</w:t>
      </w:r>
    </w:p>
    <w:p>
      <w:pPr>
        <w:spacing w:after="120" w:line="324" w:lineRule="auto"/>
        <w:ind w:firstLine="420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访谈适合追踪不易现场捕捉的污名经历及事后叙述；音视频民族志适合观察停顿、同步、修复和节奏。作者还主动说明案例一若有自然互动记录会更好，体现证据边界意识。</w:t>
      </w:r>
    </w:p>
    <w:p>
      <w:pPr>
        <w:pStyle w:val="Heading2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244A64"/>
          <w:sz w:val="26"/>
        </w:rPr>
        <w:t>4. 论证：成功机制与失败机制并置</w:t>
      </w:r>
    </w:p>
    <w:p>
      <w:pPr>
        <w:spacing w:after="120" w:line="324" w:lineRule="auto"/>
        <w:ind w:firstLine="420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音乐案例既分析共同兴奋如何形成，也分析一次沟通修复失败、鼓手丢下鼓槌后创作中断。反例让“尊重是欢腾的条件”更具解释力。</w:t>
      </w:r>
    </w:p>
    <w:p>
      <w:pPr>
        <w:pStyle w:val="Heading2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244A64"/>
          <w:sz w:val="26"/>
        </w:rPr>
        <w:t>5. 写作：从材料回到可迁移问题</w:t>
      </w:r>
    </w:p>
    <w:p>
      <w:pPr>
        <w:spacing w:after="120" w:line="324" w:lineRule="auto"/>
        <w:ind w:firstLine="420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结论没有停在挪威族裔关系或音乐人合作，而是明确指出社会运动、初创企业和关系解体可以如何使用同一框架。这是高质量讨论部分的典型写法：外推的是问题和机制，而不是武断宣称所有场景都一样。</w:t>
      </w:r>
    </w:p>
    <w:p>
      <w:pPr>
        <w:pStyle w:val="Heading1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183342"/>
          <w:sz w:val="32"/>
        </w:rPr>
        <w:t>十、局限与可批判之处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案例一的关键互动主要依靠回溯性访谈。受访者讲述的现场，与现场实际发生的轮替、语调和身体动作并不等同；作者也承认自然发生的谈话或录像会更有利。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两个案例由不同项目后期拼接而来，具有理论生成优势，但并非在统一设计下进行的严格比较。案例之间的差异既能增强迁移性，也可能掩盖无法比较的条件。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少数族裔样本中高学历者和健康/福利职业者较多，具体的面子策略可能受职业规范与阶层位置影响，不能直接代表所有少数族裔经验。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歌曲创作网络只有20人且男性居多，性别、地位和行业资源如何影响“谁有资格获得尊重、谁能定义共同焦点”尚未充分展开。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文章把权力写入了潜在研究方向，但两个核心概念本身仍可能显得过于对称。现实中，面子保护的义务与进入欢腾的机会往往按种族、性别和地位不平等分配。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从微观反馈循环推到社会运动和组织网络，主要还是理论推论。要证明“如何扩展到宏观”，未来需要纵向网络资料、跨情境跟踪或更系统的比较设计。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072"/>
            <w:shd w:fill="F8F2EA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40" w:line="288" w:lineRule="auto"/>
            </w:pPr>
            <w:r>
              <w:rPr>
                <w:rFonts w:ascii="Noto Sans SC Thin" w:hAnsi="Noto Sans SC Thin" w:eastAsia="Noto Sans SC Thin"/>
                <w:b/>
                <w:i w:val="0"/>
                <w:color w:val="3B7772"/>
                <w:sz w:val="21"/>
              </w:rPr>
              <w:t xml:space="preserve">批判性阅读原则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21"/>
              </w:rPr>
              <w:t>指出局限不是否定论文，而是区分三件事：材料真正显示了什么、理论合理推到了哪里、哪些更大主张仍需要新的研究设计。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183342"/>
          <w:sz w:val="32"/>
        </w:rPr>
        <w:t>十一、可以直接迁移到你研究中的方法</w:t>
      </w:r>
    </w:p>
    <w:p>
      <w:pPr>
        <w:pStyle w:val="Heading2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244A64"/>
          <w:sz w:val="26"/>
        </w:rPr>
        <w:t>如果你正在做课程论文或问卷研究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不要只问“某因素是否影响某结果”，先区分过程中可能混在一起的不同机制。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把抽象概念转成可识别线索：行为、语言、情绪、顺序、受众和情境修复。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在结果部分画出机制链，而非仅逐项报告相关系数或访谈主题。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寻找失败、例外和反常样本：它们常比成功案例更能说明必要条件。</w:t>
      </w:r>
    </w:p>
    <w:p>
      <w:pPr>
        <w:pStyle w:val="Heading2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244A64"/>
          <w:sz w:val="26"/>
        </w:rPr>
        <w:t>如果你以后做社会学质性研究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以“具体情境”提问：当时有哪些人？谁先说什么？停顿多久？你怎样回应？后来又向谁讲过？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使用情境短文帮助唤起经验，但要区分“对假设情境的态度”与“真实发生的实践”。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写研究备忘录记录意外发现，尤其关注原理论解释不了的片段。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若研究互动过程，尽量增加观察、录音或录像；只靠访谈很难准确还原节奏与身体过程。</w:t>
      </w:r>
    </w:p>
    <w:p>
      <w:pPr>
        <w:pStyle w:val="ListBullet"/>
        <w:spacing w:after="80" w:line="307" w:lineRule="auto"/>
        <w:ind w:left="403" w:hanging="259"/>
      </w:pPr>
      <w:r>
        <w:rPr>
          <w:rFonts w:ascii="Noto Sans SC Thin" w:hAnsi="Noto Sans SC Thin" w:eastAsia="Noto Sans SC Thin"/>
          <w:b w:val="0"/>
          <w:i w:val="0"/>
          <w:color w:val="25343B"/>
          <w:sz w:val="21"/>
        </w:rPr>
        <w:t>在研究者反身性中说明身份位置如何可能改变受访者表达，而不是只写一句“遵守研究伦理”。</w:t>
      </w:r>
    </w:p>
    <w:p>
      <w:pPr>
        <w:pStyle w:val="Heading2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244A64"/>
          <w:sz w:val="26"/>
        </w:rPr>
        <w:t>一个可练习的本土化小选题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072"/>
            <w:shd w:fill="EEF4F4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40" w:line="288" w:lineRule="auto"/>
            </w:pPr>
            <w:r>
              <w:rPr>
                <w:rFonts w:ascii="Noto Sans SC Thin" w:hAnsi="Noto Sans SC Thin" w:eastAsia="Noto Sans SC Thin"/>
                <w:b/>
                <w:i w:val="0"/>
                <w:color w:val="3B7772"/>
                <w:sz w:val="21"/>
              </w:rPr>
              <w:t xml:space="preserve">练习题目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21"/>
              </w:rPr>
              <w:t>大学生小组作业中的“面子维护—集体兴奋”轨迹：成员如何通过委婉反馈保护彼此面子？什么时候讨论进入高效、兴奋的共同创作？一次批评或沉默怎样让合作中断？可用3—5组会议录像、会后访谈与互动编码完成小型研究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183342"/>
          <w:sz w:val="32"/>
        </w:rPr>
        <w:t>十二、阅读思考题</w:t>
      </w:r>
    </w:p>
    <w:p>
      <w:pPr>
        <w:spacing w:after="140"/>
        <w:ind w:left="173"/>
      </w:pPr>
      <w:r>
        <w:rPr>
          <w:rFonts w:ascii="Noto Sans SC Thin" w:hAnsi="Noto Sans SC Thin" w:eastAsia="Noto Sans SC Thin"/>
          <w:b/>
          <w:i w:val="0"/>
          <w:color w:val="3B7772"/>
          <w:sz w:val="22"/>
        </w:rPr>
        <w:t xml:space="preserve">1. </w:t>
      </w:r>
      <w:r>
        <w:rPr>
          <w:rFonts w:ascii="Noto Sans SC Thin" w:hAnsi="Noto Sans SC Thin" w:eastAsia="Noto Sans SC Thin"/>
          <w:b w:val="0"/>
          <w:i w:val="0"/>
          <w:color w:val="183342"/>
          <w:sz w:val="21"/>
        </w:rPr>
        <w:t>如果“保护对方的面子”会让歧视行为不被指出，它究竟是在维护互动秩序，还是在再生产不平等？两者是否可能同时成立？</w:t>
      </w:r>
    </w:p>
    <w:p>
      <w:pPr>
        <w:spacing w:after="140"/>
        <w:ind w:left="173"/>
      </w:pPr>
      <w:r>
        <w:rPr>
          <w:rFonts w:ascii="Noto Sans SC Thin" w:hAnsi="Noto Sans SC Thin" w:eastAsia="Noto Sans SC Thin"/>
          <w:b/>
          <w:i w:val="0"/>
          <w:color w:val="3B7772"/>
          <w:sz w:val="22"/>
        </w:rPr>
        <w:t xml:space="preserve">2. </w:t>
      </w:r>
      <w:r>
        <w:rPr>
          <w:rFonts w:ascii="Noto Sans SC Thin" w:hAnsi="Noto Sans SC Thin" w:eastAsia="Noto Sans SC Thin"/>
          <w:b w:val="0"/>
          <w:i w:val="0"/>
          <w:color w:val="183342"/>
          <w:sz w:val="21"/>
        </w:rPr>
        <w:t>文章用两个最大差异案例建立理论模型。你认为这种设计比在同一场域内比较多个群体更强还是更弱？判断标准是什么？</w:t>
      </w:r>
    </w:p>
    <w:p>
      <w:pPr>
        <w:spacing w:after="140"/>
        <w:ind w:left="173"/>
      </w:pPr>
      <w:r>
        <w:rPr>
          <w:rFonts w:ascii="Noto Sans SC Thin" w:hAnsi="Noto Sans SC Thin" w:eastAsia="Noto Sans SC Thin"/>
          <w:b/>
          <w:i w:val="0"/>
          <w:color w:val="3B7772"/>
          <w:sz w:val="22"/>
        </w:rPr>
        <w:t xml:space="preserve">3. </w:t>
      </w:r>
      <w:r>
        <w:rPr>
          <w:rFonts w:ascii="Noto Sans SC Thin" w:hAnsi="Noto Sans SC Thin" w:eastAsia="Noto Sans SC Thin"/>
          <w:b w:val="0"/>
          <w:i w:val="0"/>
          <w:color w:val="183342"/>
          <w:sz w:val="21"/>
        </w:rPr>
        <w:t>如何用可观察指标区分“礼貌的面子工作”和真正的情绪团结？如果你来做研究，会收集什么证据？</w:t>
      </w:r>
    </w:p>
    <w:p>
      <w:pPr>
        <w:pStyle w:val="Heading1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183342"/>
          <w:sz w:val="32"/>
        </w:rPr>
        <w:t>十三、核心术语速查</w:t>
      </w:r>
    </w:p>
    <w:p>
      <w:pPr>
        <w:spacing w:after="100" w:line="300" w:lineRule="auto"/>
      </w:pPr>
      <w:r>
        <w:rPr>
          <w:rFonts w:ascii="Noto Sans SC Thin" w:hAnsi="Noto Sans SC Thin" w:eastAsia="Noto Sans SC Thin"/>
          <w:b/>
          <w:i w:val="0"/>
          <w:color w:val="3B7772"/>
          <w:sz w:val="21"/>
        </w:rPr>
        <w:t>互动秩序：</w:t>
      </w:r>
      <w:r>
        <w:rPr>
          <w:rFonts w:ascii="Noto Sans SC Thin" w:hAnsi="Noto Sans SC Thin" w:eastAsia="Noto Sans SC Thin"/>
          <w:b w:val="0"/>
          <w:i w:val="0"/>
          <w:color w:val="183342"/>
          <w:sz w:val="21"/>
        </w:rPr>
        <w:t>面对面或共同在场的互动具有相对独立的规则与结构，不能完全还原为个人性格或宏观制度。</w:t>
      </w:r>
    </w:p>
    <w:p>
      <w:pPr>
        <w:spacing w:after="100" w:line="300" w:lineRule="auto"/>
      </w:pPr>
      <w:r>
        <w:rPr>
          <w:rFonts w:ascii="Noto Sans SC Thin" w:hAnsi="Noto Sans SC Thin" w:eastAsia="Noto Sans SC Thin"/>
          <w:b/>
          <w:i w:val="0"/>
          <w:color w:val="3B7772"/>
          <w:sz w:val="21"/>
        </w:rPr>
        <w:t>面子（face）：</w:t>
      </w:r>
      <w:r>
        <w:rPr>
          <w:rFonts w:ascii="Noto Sans SC Thin" w:hAnsi="Noto Sans SC Thin" w:eastAsia="Noto Sans SC Thin"/>
          <w:b w:val="0"/>
          <w:i w:val="0"/>
          <w:color w:val="183342"/>
          <w:sz w:val="21"/>
        </w:rPr>
        <w:t>个人在特定互动中被认可的积极社会价值；既需要自我维护，也依赖他人配合。</w:t>
      </w:r>
    </w:p>
    <w:p>
      <w:pPr>
        <w:spacing w:after="100" w:line="300" w:lineRule="auto"/>
      </w:pPr>
      <w:r>
        <w:rPr>
          <w:rFonts w:ascii="Noto Sans SC Thin" w:hAnsi="Noto Sans SC Thin" w:eastAsia="Noto Sans SC Thin"/>
          <w:b/>
          <w:i w:val="0"/>
          <w:color w:val="3B7772"/>
          <w:sz w:val="21"/>
        </w:rPr>
        <w:t>尊重/礼让（deference）：</w:t>
      </w:r>
      <w:r>
        <w:rPr>
          <w:rFonts w:ascii="Noto Sans SC Thin" w:hAnsi="Noto Sans SC Thin" w:eastAsia="Noto Sans SC Thin"/>
          <w:b w:val="0"/>
          <w:i w:val="0"/>
          <w:color w:val="183342"/>
          <w:sz w:val="21"/>
        </w:rPr>
        <w:t>通过礼貌、克制、承认与避免冒犯，表达对他人社会价值的确认。</w:t>
      </w:r>
    </w:p>
    <w:p>
      <w:pPr>
        <w:spacing w:after="100" w:line="300" w:lineRule="auto"/>
      </w:pPr>
      <w:r>
        <w:rPr>
          <w:rFonts w:ascii="Noto Sans SC Thin" w:hAnsi="Noto Sans SC Thin" w:eastAsia="Noto Sans SC Thin"/>
          <w:b/>
          <w:i w:val="0"/>
          <w:color w:val="3B7772"/>
          <w:sz w:val="21"/>
        </w:rPr>
        <w:t>集体欢腾（collective effervescence）：</w:t>
      </w:r>
      <w:r>
        <w:rPr>
          <w:rFonts w:ascii="Noto Sans SC Thin" w:hAnsi="Noto Sans SC Thin" w:eastAsia="Noto Sans SC Thin"/>
          <w:b w:val="0"/>
          <w:i w:val="0"/>
          <w:color w:val="183342"/>
          <w:sz w:val="21"/>
        </w:rPr>
        <w:t>共同注意和共享情绪相互强化时产生的高涨体验、团结感和情绪能量。</w:t>
      </w:r>
    </w:p>
    <w:p>
      <w:pPr>
        <w:spacing w:after="100" w:line="300" w:lineRule="auto"/>
      </w:pPr>
      <w:r>
        <w:rPr>
          <w:rFonts w:ascii="Noto Sans SC Thin" w:hAnsi="Noto Sans SC Thin" w:eastAsia="Noto Sans SC Thin"/>
          <w:b/>
          <w:i w:val="0"/>
          <w:color w:val="3B7772"/>
          <w:sz w:val="21"/>
        </w:rPr>
        <w:t>互动仪式链：</w:t>
      </w:r>
      <w:r>
        <w:rPr>
          <w:rFonts w:ascii="Noto Sans SC Thin" w:hAnsi="Noto Sans SC Thin" w:eastAsia="Noto Sans SC Thin"/>
          <w:b w:val="0"/>
          <w:i w:val="0"/>
          <w:color w:val="183342"/>
          <w:sz w:val="21"/>
        </w:rPr>
        <w:t>一次互动产生的情绪能量、关系与象征会影响行动者进入下一次互动，多个情境由此连接。</w:t>
      </w:r>
    </w:p>
    <w:p>
      <w:pPr>
        <w:spacing w:after="100" w:line="300" w:lineRule="auto"/>
      </w:pPr>
      <w:r>
        <w:rPr>
          <w:rFonts w:ascii="Noto Sans SC Thin" w:hAnsi="Noto Sans SC Thin" w:eastAsia="Noto Sans SC Thin"/>
          <w:b/>
          <w:i w:val="0"/>
          <w:color w:val="3B7772"/>
          <w:sz w:val="21"/>
        </w:rPr>
        <w:t>情境修复（repair）：</w:t>
      </w:r>
      <w:r>
        <w:rPr>
          <w:rFonts w:ascii="Noto Sans SC Thin" w:hAnsi="Noto Sans SC Thin" w:eastAsia="Noto Sans SC Thin"/>
          <w:b w:val="0"/>
          <w:i w:val="0"/>
          <w:color w:val="183342"/>
          <w:sz w:val="21"/>
        </w:rPr>
        <w:t>当理解或互动秩序出现问题时，参与者用澄清、道歉、改述等方式恢复可继续的共同活动。</w:t>
      </w:r>
    </w:p>
    <w:p>
      <w:pPr>
        <w:spacing w:after="100" w:line="300" w:lineRule="auto"/>
      </w:pPr>
      <w:r>
        <w:rPr>
          <w:rFonts w:ascii="Noto Sans SC Thin" w:hAnsi="Noto Sans SC Thin" w:eastAsia="Noto Sans SC Thin"/>
          <w:b/>
          <w:i w:val="0"/>
          <w:color w:val="3B7772"/>
          <w:sz w:val="21"/>
        </w:rPr>
        <w:t>受众分隔：</w:t>
      </w:r>
      <w:r>
        <w:rPr>
          <w:rFonts w:ascii="Noto Sans SC Thin" w:hAnsi="Noto Sans SC Thin" w:eastAsia="Noto Sans SC Thin"/>
          <w:b w:val="0"/>
          <w:i w:val="0"/>
          <w:color w:val="183342"/>
          <w:sz w:val="21"/>
        </w:rPr>
        <w:t>行动者把不同信息、表达或自我呈现安排给不同受众；本文进一步将其与仪式类型连接。</w:t>
      </w:r>
    </w:p>
    <w:p>
      <w:pPr>
        <w:spacing w:after="100" w:line="300" w:lineRule="auto"/>
      </w:pPr>
      <w:r>
        <w:rPr>
          <w:rFonts w:ascii="Noto Sans SC Thin" w:hAnsi="Noto Sans SC Thin" w:eastAsia="Noto Sans SC Thin"/>
          <w:b/>
          <w:i w:val="0"/>
          <w:color w:val="3B7772"/>
          <w:sz w:val="21"/>
        </w:rPr>
        <w:t>理论意外：</w:t>
      </w:r>
      <w:r>
        <w:rPr>
          <w:rFonts w:ascii="Noto Sans SC Thin" w:hAnsi="Noto Sans SC Thin" w:eastAsia="Noto Sans SC Thin"/>
          <w:b w:val="0"/>
          <w:i w:val="0"/>
          <w:color w:val="183342"/>
          <w:sz w:val="21"/>
        </w:rPr>
        <w:t>经验材料出现原有理论或研究预期无法充分解释的现象，促使研究者修改概念或提出新关系。</w:t>
      </w:r>
    </w:p>
    <w:p>
      <w:pPr>
        <w:pStyle w:val="Heading1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183342"/>
          <w:sz w:val="32"/>
        </w:rPr>
        <w:t>十四、参考文献与访问入口</w:t>
      </w:r>
    </w:p>
    <w:p>
      <w:pPr>
        <w:spacing w:after="120" w:line="324" w:lineRule="auto"/>
      </w:pPr>
      <w:r>
        <w:rPr>
          <w:rFonts w:ascii="Noto Sans SC Thin" w:hAnsi="Noto Sans SC Thin" w:eastAsia="Noto Sans SC Thin"/>
          <w:b w:val="0"/>
          <w:i w:val="0"/>
          <w:color w:val="25343B"/>
          <w:sz w:val="20"/>
        </w:rPr>
        <w:t>Vassenden, Anders, Nicholas Hoynes, Taylor Price, and Iddo Tavory. 2026. “Between Two Rituals: Face and Effervescence as Moments of Social Life.” American Sociological Review 91(3): 379–404. https://doi.org/10.1177/00031224261441865.</w:t>
      </w:r>
    </w:p>
    <w:p>
      <w:pPr>
        <w:spacing w:after="100"/>
      </w:pPr>
      <w:r>
        <w:rPr>
          <w:rFonts w:ascii="Noto Sans SC Thin" w:hAnsi="Noto Sans SC Thin" w:eastAsia="Noto Sans SC Thin"/>
          <w:b/>
          <w:i w:val="0"/>
          <w:color w:val="3B7772"/>
          <w:sz w:val="20"/>
        </w:rPr>
        <w:t>官方全文：</w:t>
      </w:r>
      <w:hyperlink r:id="rId11">
        <w:r>
          <w:rPr>
            <w:color w:val="2B6F8A"/>
            <w:u w:val="single"/>
          </w:rPr>
          <w:t>SAGE Journals 开放获取页面</w:t>
        </w:r>
      </w:hyperlink>
    </w:p>
    <w:p>
      <w:pPr>
        <w:spacing w:after="100"/>
      </w:pPr>
      <w:r>
        <w:rPr>
          <w:rFonts w:ascii="Noto Sans SC Thin" w:hAnsi="Noto Sans SC Thin" w:eastAsia="Noto Sans SC Thin"/>
          <w:b/>
          <w:i w:val="0"/>
          <w:color w:val="3B7772"/>
          <w:sz w:val="20"/>
        </w:rPr>
        <w:t>DOI：</w:t>
      </w:r>
      <w:hyperlink r:id="rId12">
        <w:r>
          <w:rPr>
            <w:color w:val="2B6F8A"/>
            <w:u w:val="single"/>
          </w:rPr>
          <w:t>https://doi.org/10.1177/00031224261441865</w:t>
        </w:r>
      </w:hyperlink>
    </w:p>
    <w:p>
      <w:pPr>
        <w:pStyle w:val="Heading2"/>
        <w:keepNext/>
        <w:pageBreakBefore w:val="0"/>
      </w:pPr>
      <w:r>
        <w:rPr>
          <w:rFonts w:ascii="Noto Sans SC Thin" w:hAnsi="Noto Sans SC Thin" w:eastAsia="Noto Sans SC Thin"/>
          <w:b/>
          <w:i w:val="0"/>
          <w:color w:val="244A64"/>
          <w:sz w:val="26"/>
        </w:rPr>
        <w:t>信息边界说明</w:t>
      </w:r>
    </w:p>
    <w:p>
      <w:pPr>
        <w:spacing w:after="120" w:line="324" w:lineRule="auto"/>
      </w:pPr>
      <w:r>
        <w:rPr>
          <w:rFonts w:ascii="Noto Sans SC Thin" w:hAnsi="Noto Sans SC Thin" w:eastAsia="Noto Sans SC Thin"/>
          <w:b w:val="0"/>
          <w:i w:val="0"/>
          <w:color w:val="25343B"/>
          <w:sz w:val="20"/>
        </w:rPr>
        <w:t>本精读依据期刊官方开放获取全文制作，核对了文章的摘要、理论部分、方法、两个经验分析、讨论与结论；不是仅依据摘要生成。本文中的“作者主张/资料事实”与“精读分析/批评”已尽量分开表述。为遵守学术规范，未大段翻译或复制原文，案例内容均为中文概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072"/>
            <w:shd w:fill="EEF4F4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40" w:line="288" w:lineRule="auto"/>
            </w:pPr>
            <w:r>
              <w:rPr>
                <w:rFonts w:ascii="Noto Sans SC Thin" w:hAnsi="Noto Sans SC Thin" w:eastAsia="Noto Sans SC Thin"/>
                <w:b/>
                <w:i w:val="0"/>
                <w:color w:val="3B7772"/>
                <w:sz w:val="21"/>
              </w:rPr>
              <w:t xml:space="preserve">明日阅读建议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83342"/>
                <w:sz w:val="21"/>
              </w:rPr>
              <w:t>读完后只写三句话：①作者发现了什么理论张力；②两个案例各自承担什么论证任务；③如果换成你的校园生活，哪一种互动最适合用“面子—欢腾”轨迹分析。</w:t>
            </w:r>
          </w:p>
        </w:tc>
      </w:tr>
    </w:tbl>
    <w:p>
      <w:pPr>
        <w:spacing w:after="20"/>
      </w:pPr>
    </w:p>
    <w:p>
      <w:pPr>
        <w:spacing w:before="320" w:after="160"/>
        <w:jc w:val="center"/>
      </w:pPr>
      <w:hyperlink r:id="rId11">
        <w:r>
          <w:rPr>
            <w:color w:val="2B6F8A"/>
            <w:u w:val="single"/>
            <w:b/>
            <w:sz w:val="24"/>
            <w:szCs w:val="24"/>
          </w:rPr>
          <w:t>点击此处阅读论文官方开放获取全文</w:t>
        </w:r>
      </w:hyperlink>
    </w:p>
    <w:p>
      <w:pPr>
        <w:spacing w:after="80"/>
        <w:jc w:val="center"/>
      </w:pPr>
      <w:r>
        <w:rPr>
          <w:rFonts w:ascii="Noto Sans SC Thin" w:hAnsi="Noto Sans SC Thin" w:eastAsia="Noto Sans SC Thin"/>
          <w:color w:val="66747C"/>
          <w:sz w:val="18"/>
        </w:rPr>
        <w:t>SAGE Journals · DOI: 10.1177/00031224261441865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67" w:bottom="1037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 Thin" w:hAnsi="Noto Sans SC Thin" w:eastAsia="Noto Sans SC Thin"/>
        <w:b/>
        <w:i w:val="0"/>
        <w:color w:val="66747C"/>
        <w:sz w:val="17"/>
      </w:rPr>
      <w:t>SOCIOLOGY DAILY READING  · 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Noto Sans SC Thin" w:hAnsi="Noto Sans SC Thin" w:eastAsia="Noto Sans SC Thi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1833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244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3B777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journals.sagepub.com/doi/full/10.1177/00031224261441865" TargetMode="External"/><Relationship Id="rId12" Type="http://schemas.openxmlformats.org/officeDocument/2006/relationships/hyperlink" Target="https://doi.org/10.1177/000312242614418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社会学每日精读：两种仪式之间</dc:title>
  <dc:subject>社会学论文结构、选题、方法与论证分析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