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rPr>
          <w:rFonts w:hint="eastAsia" w:ascii="仿宋" w:hAnsi="仿宋" w:eastAsia="仿宋" w:cs="宋体"/>
          <w:b/>
          <w:bCs/>
          <w:sz w:val="36"/>
          <w:szCs w:val="36"/>
          <w:highlight w:val="none"/>
        </w:rPr>
        <w:t>合同编号：</w:t>
      </w:r>
      <w:r>
        <w:rPr>
          <w:rFonts w:hint="eastAsia" w:ascii="仿宋_GB2312" w:hAnsi="宋体" w:eastAsia="仿宋_GB2312"/>
          <w:b/>
          <w:sz w:val="28"/>
          <w:szCs w:val="28"/>
          <w:highlight w:val="none"/>
          <w:u w:val="single"/>
        </w:rPr>
        <w:t xml:space="preserve">CHYB-机械-2026-003 </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 xml:space="preserve">       </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云南署舜建筑有限公司</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盘龙区伟耀建筑劳务部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昆明市西山区草海西片区排水防洪通道改造工程(一标段）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rPr>
          <w:rFonts w:hint="eastAsia" w:ascii="仿宋" w:hAnsi="仿宋" w:eastAsia="仿宋" w:cs="宋体"/>
          <w:b/>
          <w:bCs/>
          <w:color w:val="000000" w:themeColor="text1"/>
          <w:sz w:val="36"/>
          <w:szCs w:val="36"/>
          <w:highlight w:val="none"/>
          <w14:textFill>
            <w14:solidFill>
              <w14:schemeClr w14:val="tx1"/>
            </w14:solidFill>
          </w14:textFill>
        </w:rPr>
        <w:t>工程机械设备租赁服务合同</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云南署舜建筑有限公司</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盘龙区伟耀建筑劳务部</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tbl>
      <w:tblPr>
        <w:tblW w:w="856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0"/>
        <w:gridCol w:w="1151"/>
        <w:gridCol w:w="611"/>
        <w:gridCol w:w="1032"/>
        <w:gridCol w:w="614"/>
        <w:gridCol w:w="608"/>
        <w:gridCol w:w="1032"/>
        <w:gridCol w:w="769"/>
        <w:gridCol w:w="1032"/>
        <w:gridCol w:w="622"/>
      </w:tblGrid>
      <w:tr w14:paraId="37BB1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2" w:hRule="atLeast"/>
        </w:trPr>
        <w:tc>
          <w:tcPr>
            <w:tcW w:w="8570" w:type="dxa"/>
            <w:gridSpan w:val="10"/>
            <w:tcBorders>
              <w:top w:val="nil"/>
              <w:left w:val="nil"/>
              <w:bottom w:val="nil"/>
              <w:right w:val="nil"/>
            </w:tcBorders>
            <w:shd w:val="clear"/>
            <w:noWrap/>
            <w:vAlign w:val="center"/>
          </w:tcPr>
          <w:p w14:paraId="4F94042B">
            <w:pPr>
              <w:keepNext w:val="0"/>
              <w:keepLines w:val="0"/>
              <w:widowControl/>
              <w:suppressLineNumbers w:val="0"/>
              <w:jc w:val="center"/>
              <w:textAlignment w:val="center"/>
              <w:rPr>
                <w:rFonts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1.工程机械设备租赁明细表</w:t>
            </w:r>
          </w:p>
        </w:tc>
      </w:tr>
      <w:tr w14:paraId="6D026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045" w:type="dxa"/>
            <w:vMerge w:val="restart"/>
            <w:tcBorders>
              <w:top w:val="single" w:color="000000" w:sz="4" w:space="0"/>
              <w:left w:val="single" w:color="000000" w:sz="4" w:space="0"/>
              <w:bottom w:val="single" w:color="000000" w:sz="4" w:space="0"/>
              <w:right w:val="single" w:color="000000" w:sz="4" w:space="0"/>
            </w:tcBorders>
            <w:shd w:val="clear"/>
            <w:vAlign w:val="center"/>
          </w:tcPr>
          <w:p w14:paraId="62D9B55A">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Style w:val="44"/>
                <w:bdr w:val="none" w:color="auto" w:sz="0" w:space="0"/>
                <w:lang w:val="en-US" w:eastAsia="zh-CN" w:bidi="ar"/>
              </w:rPr>
              <w:t>机械设备名称</w:t>
            </w:r>
            <w:r>
              <w:rPr>
                <w:rStyle w:val="45"/>
                <w:bdr w:val="none" w:color="auto" w:sz="0" w:space="0"/>
                <w:lang w:val="en-US" w:eastAsia="zh-CN" w:bidi="ar"/>
              </w:rPr>
              <w:t>或费用名称</w:t>
            </w:r>
          </w:p>
        </w:tc>
        <w:tc>
          <w:tcPr>
            <w:tcW w:w="920" w:type="dxa"/>
            <w:vMerge w:val="restart"/>
            <w:tcBorders>
              <w:top w:val="single" w:color="000000" w:sz="4" w:space="0"/>
              <w:left w:val="single" w:color="000000" w:sz="4" w:space="0"/>
              <w:bottom w:val="single" w:color="000000" w:sz="4" w:space="0"/>
              <w:right w:val="single" w:color="000000" w:sz="4" w:space="0"/>
            </w:tcBorders>
            <w:shd w:val="clear"/>
            <w:vAlign w:val="center"/>
          </w:tcPr>
          <w:p w14:paraId="680F00A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规格型号</w:t>
            </w:r>
          </w:p>
        </w:tc>
        <w:tc>
          <w:tcPr>
            <w:tcW w:w="713" w:type="dxa"/>
            <w:vMerge w:val="restart"/>
            <w:tcBorders>
              <w:top w:val="single" w:color="000000" w:sz="4" w:space="0"/>
              <w:left w:val="single" w:color="000000" w:sz="4" w:space="0"/>
              <w:bottom w:val="single" w:color="000000" w:sz="4" w:space="0"/>
              <w:right w:val="single" w:color="000000" w:sz="4" w:space="0"/>
            </w:tcBorders>
            <w:shd w:val="clear"/>
            <w:vAlign w:val="center"/>
          </w:tcPr>
          <w:p w14:paraId="13B446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暂估</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数量</w:t>
            </w:r>
          </w:p>
        </w:tc>
        <w:tc>
          <w:tcPr>
            <w:tcW w:w="1032" w:type="dxa"/>
            <w:vMerge w:val="restart"/>
            <w:tcBorders>
              <w:top w:val="single" w:color="000000" w:sz="4" w:space="0"/>
              <w:left w:val="single" w:color="000000" w:sz="4" w:space="0"/>
              <w:bottom w:val="single" w:color="000000" w:sz="4" w:space="0"/>
              <w:right w:val="single" w:color="000000" w:sz="4" w:space="0"/>
            </w:tcBorders>
            <w:shd w:val="clear"/>
            <w:vAlign w:val="center"/>
          </w:tcPr>
          <w:p w14:paraId="277542B9">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计价</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单位</w:t>
            </w:r>
          </w:p>
        </w:tc>
        <w:tc>
          <w:tcPr>
            <w:tcW w:w="734" w:type="dxa"/>
            <w:vMerge w:val="restart"/>
            <w:tcBorders>
              <w:top w:val="single" w:color="000000" w:sz="4" w:space="0"/>
              <w:left w:val="single" w:color="000000" w:sz="4" w:space="0"/>
              <w:bottom w:val="single" w:color="000000" w:sz="4" w:space="0"/>
              <w:right w:val="single" w:color="000000" w:sz="4" w:space="0"/>
            </w:tcBorders>
            <w:shd w:val="clear"/>
            <w:vAlign w:val="center"/>
          </w:tcPr>
          <w:p w14:paraId="59D6F1AE">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是否含</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燃油</w:t>
            </w:r>
          </w:p>
        </w:tc>
        <w:tc>
          <w:tcPr>
            <w:tcW w:w="693" w:type="dxa"/>
            <w:vMerge w:val="restart"/>
            <w:tcBorders>
              <w:top w:val="single" w:color="000000" w:sz="4" w:space="0"/>
              <w:left w:val="single" w:color="000000" w:sz="4" w:space="0"/>
              <w:bottom w:val="single" w:color="000000" w:sz="4" w:space="0"/>
              <w:right w:val="single" w:color="000000" w:sz="4" w:space="0"/>
            </w:tcBorders>
            <w:shd w:val="clear"/>
            <w:vAlign w:val="center"/>
          </w:tcPr>
          <w:p w14:paraId="3B0AB3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是否带操作</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人员</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FF8D1E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不含税租金</w:t>
            </w:r>
          </w:p>
        </w:tc>
        <w:tc>
          <w:tcPr>
            <w:tcW w:w="728" w:type="dxa"/>
            <w:vMerge w:val="restart"/>
            <w:tcBorders>
              <w:top w:val="single" w:color="000000" w:sz="4" w:space="0"/>
              <w:left w:val="single" w:color="000000" w:sz="4" w:space="0"/>
              <w:bottom w:val="single" w:color="000000" w:sz="4" w:space="0"/>
              <w:right w:val="single" w:color="000000" w:sz="4" w:space="0"/>
            </w:tcBorders>
            <w:shd w:val="clear"/>
            <w:vAlign w:val="center"/>
          </w:tcPr>
          <w:p w14:paraId="361EBBB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税率（%）</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0AE6778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价税合计租金</w:t>
            </w:r>
          </w:p>
        </w:tc>
        <w:tc>
          <w:tcPr>
            <w:tcW w:w="641" w:type="dxa"/>
            <w:vMerge w:val="restart"/>
            <w:tcBorders>
              <w:top w:val="single" w:color="000000" w:sz="4" w:space="0"/>
              <w:left w:val="single" w:color="000000" w:sz="4" w:space="0"/>
              <w:bottom w:val="single" w:color="000000" w:sz="4" w:space="0"/>
              <w:right w:val="single" w:color="000000" w:sz="4" w:space="0"/>
            </w:tcBorders>
            <w:shd w:val="clear"/>
            <w:vAlign w:val="center"/>
          </w:tcPr>
          <w:p w14:paraId="0C7698C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备注</w:t>
            </w:r>
          </w:p>
        </w:tc>
      </w:tr>
      <w:tr w14:paraId="50155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500" w:hRule="atLeast"/>
        </w:trPr>
        <w:tc>
          <w:tcPr>
            <w:tcW w:w="1045" w:type="dxa"/>
            <w:vMerge w:val="continue"/>
            <w:tcBorders>
              <w:top w:val="single" w:color="000000" w:sz="4" w:space="0"/>
              <w:left w:val="single" w:color="000000" w:sz="4" w:space="0"/>
              <w:bottom w:val="single" w:color="000000" w:sz="4" w:space="0"/>
              <w:right w:val="single" w:color="000000" w:sz="4" w:space="0"/>
            </w:tcBorders>
            <w:shd w:val="clear"/>
            <w:vAlign w:val="center"/>
          </w:tcPr>
          <w:p w14:paraId="4DED472E">
            <w:pPr>
              <w:jc w:val="center"/>
              <w:rPr>
                <w:rFonts w:hint="eastAsia" w:ascii="仿宋" w:hAnsi="仿宋" w:eastAsia="仿宋" w:cs="仿宋"/>
                <w:b/>
                <w:bCs/>
                <w:i w:val="0"/>
                <w:iCs w:val="0"/>
                <w:color w:val="000000"/>
                <w:sz w:val="22"/>
                <w:szCs w:val="22"/>
                <w:u w:val="none"/>
              </w:rPr>
            </w:pPr>
          </w:p>
        </w:tc>
        <w:tc>
          <w:tcPr>
            <w:tcW w:w="920"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274A2AD">
            <w:pPr>
              <w:jc w:val="center"/>
              <w:rPr>
                <w:rFonts w:hint="eastAsia" w:ascii="仿宋" w:hAnsi="仿宋" w:eastAsia="仿宋" w:cs="仿宋"/>
                <w:b/>
                <w:bCs/>
                <w:i w:val="0"/>
                <w:iCs w:val="0"/>
                <w:color w:val="000000"/>
                <w:sz w:val="22"/>
                <w:szCs w:val="22"/>
                <w:u w:val="none"/>
              </w:rPr>
            </w:pPr>
          </w:p>
        </w:tc>
        <w:tc>
          <w:tcPr>
            <w:tcW w:w="71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3DBC3D70">
            <w:pPr>
              <w:jc w:val="center"/>
              <w:rPr>
                <w:rFonts w:hint="eastAsia" w:ascii="仿宋" w:hAnsi="仿宋" w:eastAsia="仿宋" w:cs="仿宋"/>
                <w:b/>
                <w:bCs/>
                <w:i w:val="0"/>
                <w:iCs w:val="0"/>
                <w:color w:val="000000"/>
                <w:sz w:val="22"/>
                <w:szCs w:val="22"/>
                <w:u w:val="none"/>
              </w:rPr>
            </w:pPr>
          </w:p>
        </w:tc>
        <w:tc>
          <w:tcPr>
            <w:tcW w:w="1032"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04CD48A">
            <w:pPr>
              <w:jc w:val="center"/>
              <w:rPr>
                <w:rFonts w:hint="eastAsia" w:ascii="仿宋" w:hAnsi="仿宋" w:eastAsia="仿宋" w:cs="仿宋"/>
                <w:b/>
                <w:bCs/>
                <w:i w:val="0"/>
                <w:iCs w:val="0"/>
                <w:color w:val="000000"/>
                <w:sz w:val="22"/>
                <w:szCs w:val="22"/>
                <w:u w:val="none"/>
              </w:rPr>
            </w:pPr>
          </w:p>
        </w:tc>
        <w:tc>
          <w:tcPr>
            <w:tcW w:w="734" w:type="dxa"/>
            <w:vMerge w:val="continue"/>
            <w:tcBorders>
              <w:top w:val="single" w:color="000000" w:sz="4" w:space="0"/>
              <w:left w:val="single" w:color="000000" w:sz="4" w:space="0"/>
              <w:bottom w:val="single" w:color="000000" w:sz="4" w:space="0"/>
              <w:right w:val="single" w:color="000000" w:sz="4" w:space="0"/>
            </w:tcBorders>
            <w:shd w:val="clear"/>
            <w:vAlign w:val="center"/>
          </w:tcPr>
          <w:p w14:paraId="07455B47">
            <w:pPr>
              <w:jc w:val="center"/>
              <w:rPr>
                <w:rFonts w:hint="eastAsia" w:ascii="仿宋" w:hAnsi="仿宋" w:eastAsia="仿宋" w:cs="仿宋"/>
                <w:b/>
                <w:bCs/>
                <w:i w:val="0"/>
                <w:iCs w:val="0"/>
                <w:color w:val="000000"/>
                <w:sz w:val="22"/>
                <w:szCs w:val="22"/>
                <w:u w:val="none"/>
              </w:rPr>
            </w:pPr>
          </w:p>
        </w:tc>
        <w:tc>
          <w:tcPr>
            <w:tcW w:w="69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AE80531">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46889F52">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728"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D7E2096">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AB60AE5">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641"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63530C2">
            <w:pPr>
              <w:jc w:val="center"/>
              <w:rPr>
                <w:rFonts w:hint="eastAsia" w:ascii="仿宋" w:hAnsi="仿宋" w:eastAsia="仿宋" w:cs="仿宋"/>
                <w:b/>
                <w:bCs/>
                <w:i w:val="0"/>
                <w:iCs w:val="0"/>
                <w:color w:val="000000"/>
                <w:sz w:val="22"/>
                <w:szCs w:val="22"/>
                <w:u w:val="none"/>
              </w:rPr>
            </w:pPr>
          </w:p>
        </w:tc>
      </w:tr>
      <w:tr w14:paraId="08AE7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01"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00AD26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346B2E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神钢350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F8FE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A8E868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6BC89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9B7BC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03E128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E9BB49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87C7BE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FD8C50">
            <w:pPr>
              <w:jc w:val="center"/>
              <w:rPr>
                <w:rFonts w:hint="eastAsia" w:ascii="仿宋" w:hAnsi="仿宋" w:eastAsia="仿宋" w:cs="仿宋"/>
                <w:i w:val="0"/>
                <w:iCs w:val="0"/>
                <w:color w:val="000000"/>
                <w:sz w:val="22"/>
                <w:szCs w:val="22"/>
                <w:u w:val="none"/>
              </w:rPr>
            </w:pPr>
          </w:p>
        </w:tc>
      </w:tr>
      <w:tr w14:paraId="0A9B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9BA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26E37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BC9A2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362B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C4AA946">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900614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C417AC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4F61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DC59AC">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BB10E1">
            <w:pPr>
              <w:jc w:val="center"/>
              <w:rPr>
                <w:rFonts w:hint="eastAsia" w:ascii="仿宋" w:hAnsi="仿宋" w:eastAsia="仿宋" w:cs="仿宋"/>
                <w:i w:val="0"/>
                <w:iCs w:val="0"/>
                <w:color w:val="000000"/>
                <w:sz w:val="22"/>
                <w:szCs w:val="22"/>
                <w:u w:val="none"/>
              </w:rPr>
            </w:pPr>
          </w:p>
        </w:tc>
      </w:tr>
      <w:tr w14:paraId="56456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5D9D9A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3A91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8FA603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0F333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15D367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C967850">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629E1D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880355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424166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B0613EB">
            <w:pPr>
              <w:jc w:val="center"/>
              <w:rPr>
                <w:rFonts w:hint="eastAsia" w:ascii="仿宋" w:hAnsi="仿宋" w:eastAsia="仿宋" w:cs="仿宋"/>
                <w:i w:val="0"/>
                <w:iCs w:val="0"/>
                <w:color w:val="000000"/>
                <w:sz w:val="22"/>
                <w:szCs w:val="22"/>
                <w:u w:val="none"/>
              </w:rPr>
            </w:pPr>
          </w:p>
        </w:tc>
      </w:tr>
      <w:tr w14:paraId="5FE65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C94AC5B">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26D7B0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13262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BA83F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BDDBC4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C758C2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BAC34E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106B0C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1CC2A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509A4E1">
            <w:pPr>
              <w:jc w:val="center"/>
              <w:rPr>
                <w:rFonts w:hint="eastAsia" w:ascii="仿宋" w:hAnsi="仿宋" w:eastAsia="仿宋" w:cs="仿宋"/>
                <w:i w:val="0"/>
                <w:iCs w:val="0"/>
                <w:color w:val="000000"/>
                <w:sz w:val="22"/>
                <w:szCs w:val="22"/>
                <w:u w:val="none"/>
              </w:rPr>
            </w:pPr>
          </w:p>
        </w:tc>
      </w:tr>
      <w:tr w14:paraId="3B27D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979FA0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2457D5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卡特320D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5239C39">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AA0CD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D7F6E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59D40E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2919A5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81AD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B6533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B10C243">
            <w:pPr>
              <w:jc w:val="center"/>
              <w:rPr>
                <w:rFonts w:hint="eastAsia" w:ascii="仿宋" w:hAnsi="仿宋" w:eastAsia="仿宋" w:cs="仿宋"/>
                <w:i w:val="0"/>
                <w:iCs w:val="0"/>
                <w:color w:val="000000"/>
                <w:sz w:val="22"/>
                <w:szCs w:val="22"/>
                <w:u w:val="none"/>
              </w:rPr>
            </w:pPr>
          </w:p>
        </w:tc>
      </w:tr>
      <w:tr w14:paraId="236A2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1100" w:type="dxa"/>
            <w:tcBorders>
              <w:top w:val="single" w:color="000000" w:sz="4" w:space="0"/>
              <w:left w:val="single" w:color="000000" w:sz="4" w:space="0"/>
              <w:bottom w:val="single" w:color="000000" w:sz="4" w:space="0"/>
              <w:right w:val="single" w:color="000000" w:sz="4" w:space="0"/>
            </w:tcBorders>
            <w:shd w:val="clear"/>
            <w:noWrap/>
            <w:vAlign w:val="center"/>
          </w:tcPr>
          <w:p w14:paraId="119F3E8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挖掘机</w:t>
            </w:r>
          </w:p>
        </w:tc>
        <w:tc>
          <w:tcPr>
            <w:tcW w:w="1151" w:type="dxa"/>
            <w:tcBorders>
              <w:top w:val="single" w:color="000000" w:sz="4" w:space="0"/>
              <w:left w:val="single" w:color="000000" w:sz="4" w:space="0"/>
              <w:bottom w:val="single" w:color="000000" w:sz="4" w:space="0"/>
              <w:right w:val="single" w:color="000000" w:sz="4" w:space="0"/>
            </w:tcBorders>
            <w:shd w:val="clear"/>
            <w:noWrap/>
            <w:vAlign w:val="center"/>
          </w:tcPr>
          <w:p w14:paraId="72C9AF54">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卡特320D</w:t>
            </w:r>
          </w:p>
        </w:tc>
        <w:tc>
          <w:tcPr>
            <w:tcW w:w="611" w:type="dxa"/>
            <w:tcBorders>
              <w:top w:val="single" w:color="000000" w:sz="4" w:space="0"/>
              <w:left w:val="single" w:color="000000" w:sz="4" w:space="0"/>
              <w:bottom w:val="single" w:color="000000" w:sz="4" w:space="0"/>
              <w:right w:val="single" w:color="000000" w:sz="4" w:space="0"/>
            </w:tcBorders>
            <w:shd w:val="clear"/>
            <w:noWrap/>
            <w:vAlign w:val="center"/>
          </w:tcPr>
          <w:p w14:paraId="2A9C516F">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A3854EE">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台/小时</w:t>
            </w:r>
          </w:p>
        </w:tc>
        <w:tc>
          <w:tcPr>
            <w:tcW w:w="614" w:type="dxa"/>
            <w:tcBorders>
              <w:top w:val="single" w:color="000000" w:sz="4" w:space="0"/>
              <w:left w:val="single" w:color="000000" w:sz="4" w:space="0"/>
              <w:bottom w:val="single" w:color="000000" w:sz="4" w:space="0"/>
              <w:right w:val="single" w:color="000000" w:sz="4" w:space="0"/>
            </w:tcBorders>
            <w:shd w:val="clear"/>
            <w:noWrap/>
            <w:vAlign w:val="center"/>
          </w:tcPr>
          <w:p w14:paraId="1A5A424F">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608" w:type="dxa"/>
            <w:tcBorders>
              <w:top w:val="single" w:color="000000" w:sz="4" w:space="0"/>
              <w:left w:val="single" w:color="000000" w:sz="4" w:space="0"/>
              <w:bottom w:val="single" w:color="000000" w:sz="4" w:space="0"/>
              <w:right w:val="single" w:color="000000" w:sz="4" w:space="0"/>
            </w:tcBorders>
            <w:shd w:val="clear"/>
            <w:noWrap/>
            <w:vAlign w:val="center"/>
          </w:tcPr>
          <w:p w14:paraId="12330962">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5E6208D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6C672ECB">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0EF097">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200</w:t>
            </w:r>
          </w:p>
        </w:tc>
        <w:tc>
          <w:tcPr>
            <w:tcW w:w="622" w:type="dxa"/>
            <w:tcBorders>
              <w:top w:val="single" w:color="000000" w:sz="4" w:space="0"/>
              <w:left w:val="single" w:color="000000" w:sz="4" w:space="0"/>
              <w:bottom w:val="single" w:color="000000" w:sz="4" w:space="0"/>
              <w:right w:val="single" w:color="000000" w:sz="4" w:space="0"/>
            </w:tcBorders>
            <w:shd w:val="clear"/>
            <w:noWrap/>
            <w:vAlign w:val="center"/>
          </w:tcPr>
          <w:p w14:paraId="7D92E028">
            <w:pPr>
              <w:jc w:val="center"/>
              <w:rPr>
                <w:rFonts w:hint="eastAsia" w:ascii="仿宋" w:hAnsi="仿宋" w:eastAsia="仿宋" w:cs="仿宋"/>
                <w:i w:val="0"/>
                <w:iCs w:val="0"/>
                <w:color w:val="000000"/>
                <w:sz w:val="22"/>
                <w:szCs w:val="22"/>
                <w:u w:val="none"/>
              </w:rPr>
            </w:pPr>
          </w:p>
        </w:tc>
      </w:tr>
      <w:tr w14:paraId="15DC9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0CB0D8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22763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日立130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DCFB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68EE8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A985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2ED6A5F">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2F4584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2E489EC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79B64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200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DFE31DB">
            <w:pPr>
              <w:jc w:val="center"/>
              <w:rPr>
                <w:rFonts w:hint="eastAsia" w:ascii="仿宋" w:hAnsi="仿宋" w:eastAsia="仿宋" w:cs="仿宋"/>
                <w:i w:val="0"/>
                <w:iCs w:val="0"/>
                <w:color w:val="000000"/>
                <w:sz w:val="22"/>
                <w:szCs w:val="22"/>
                <w:u w:val="none"/>
              </w:rPr>
            </w:pPr>
          </w:p>
        </w:tc>
      </w:tr>
      <w:tr w14:paraId="41474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E9BC37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6FE9AD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卡特313D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FBA981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F04C81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E67B43">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4E51A07">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2D1ADC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792.08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129AB8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38267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800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2AA99FC">
            <w:pPr>
              <w:jc w:val="center"/>
              <w:rPr>
                <w:rFonts w:hint="eastAsia" w:ascii="仿宋" w:hAnsi="仿宋" w:eastAsia="仿宋" w:cs="仿宋"/>
                <w:i w:val="0"/>
                <w:iCs w:val="0"/>
                <w:color w:val="000000"/>
                <w:sz w:val="22"/>
                <w:szCs w:val="22"/>
                <w:u w:val="none"/>
              </w:rPr>
            </w:pPr>
          </w:p>
        </w:tc>
      </w:tr>
      <w:tr w14:paraId="065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E99B42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进场费</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7DB995">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A9B8058">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610A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次/台</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43135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AE20C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9DE5CE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4A420FA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1039E6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641" w:type="dxa"/>
            <w:tcBorders>
              <w:top w:val="single" w:color="000000" w:sz="4" w:space="0"/>
              <w:left w:val="single" w:color="000000" w:sz="4" w:space="0"/>
              <w:bottom w:val="single" w:color="000000" w:sz="4" w:space="0"/>
              <w:right w:val="single" w:color="000000" w:sz="4" w:space="0"/>
            </w:tcBorders>
            <w:shd w:val="clear"/>
            <w:vAlign w:val="center"/>
          </w:tcPr>
          <w:p w14:paraId="488A7809">
            <w:pPr>
              <w:keepNext w:val="0"/>
              <w:keepLines w:val="0"/>
              <w:widowControl/>
              <w:suppressLineNumbers w:val="0"/>
              <w:jc w:val="center"/>
              <w:textAlignment w:val="center"/>
              <w:rPr>
                <w:rFonts w:hint="eastAsia" w:ascii="仿宋" w:hAnsi="仿宋" w:eastAsia="仿宋" w:cs="仿宋"/>
                <w:i w:val="0"/>
                <w:iCs w:val="0"/>
                <w:color w:val="000000"/>
                <w:sz w:val="12"/>
                <w:szCs w:val="12"/>
                <w:u w:val="none"/>
              </w:rPr>
            </w:pPr>
            <w:r>
              <w:rPr>
                <w:rFonts w:hint="eastAsia" w:ascii="仿宋" w:hAnsi="仿宋" w:eastAsia="仿宋" w:cs="仿宋"/>
                <w:i w:val="0"/>
                <w:iCs w:val="0"/>
                <w:color w:val="000000"/>
                <w:kern w:val="0"/>
                <w:sz w:val="12"/>
                <w:szCs w:val="12"/>
                <w:u w:val="none"/>
                <w:bdr w:val="none" w:color="auto" w:sz="0" w:space="0"/>
                <w:lang w:val="en-US" w:eastAsia="zh-CN" w:bidi="ar"/>
              </w:rPr>
              <w:t>昆明市30km范围内</w:t>
            </w:r>
          </w:p>
        </w:tc>
      </w:tr>
      <w:tr w14:paraId="1773E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E8B66C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合计金额</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F2E95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69D6CE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C28469">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33B3FA">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7C11983">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851A4F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42F4CC">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3EC5B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31D0C7B">
            <w:pPr>
              <w:jc w:val="center"/>
              <w:rPr>
                <w:rFonts w:hint="eastAsia" w:ascii="仿宋" w:hAnsi="仿宋" w:eastAsia="仿宋" w:cs="仿宋"/>
                <w:b/>
                <w:bCs/>
                <w:i w:val="0"/>
                <w:iCs w:val="0"/>
                <w:color w:val="000000"/>
                <w:sz w:val="22"/>
                <w:szCs w:val="22"/>
                <w:u w:val="none"/>
              </w:rPr>
            </w:pPr>
          </w:p>
        </w:tc>
      </w:tr>
      <w:tr w14:paraId="65788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320" w:hRule="atLeast"/>
        </w:trPr>
        <w:tc>
          <w:tcPr>
            <w:tcW w:w="8570" w:type="dxa"/>
            <w:gridSpan w:val="10"/>
            <w:tcBorders>
              <w:top w:val="single" w:color="000000" w:sz="4" w:space="0"/>
              <w:left w:val="single" w:color="000000" w:sz="4" w:space="0"/>
              <w:bottom w:val="single" w:color="000000" w:sz="4" w:space="0"/>
              <w:right w:val="single" w:color="000000" w:sz="4" w:space="0"/>
            </w:tcBorders>
            <w:shd w:val="clear"/>
            <w:vAlign w:val="center"/>
          </w:tcPr>
          <w:p w14:paraId="4E6D4070">
            <w:pPr>
              <w:keepNext w:val="0"/>
              <w:keepLines w:val="0"/>
              <w:widowControl/>
              <w:suppressLineNumbers w:val="0"/>
              <w:jc w:val="left"/>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含税单价中：</w:t>
            </w:r>
            <w:r>
              <w:rPr>
                <w:rStyle w:val="46"/>
                <w:bdr w:val="none" w:color="auto" w:sz="0" w:space="0"/>
                <w:lang w:val="en-US" w:eastAsia="zh-CN" w:bidi="ar"/>
              </w:rPr>
              <w:t>（1）已含燃油费□（②燃油由乙方自行购买承担，不扣除，不调整单价）□；（2）进场费由甲方负责；（3）出场费由乙方负责；（4）场内机械转移费由甲方负责。</w:t>
            </w:r>
          </w:p>
        </w:tc>
      </w:tr>
    </w:tbl>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昆明市西山区草海西片区排水防洪通道改造工程(一标段）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2"/>
          <w:highlight w:val="none"/>
          <w:lang w:val="en-US" w:eastAsia="zh-CN"/>
        </w:rPr>
        <w:t>合同</w:t>
      </w:r>
      <w:r>
        <w:rPr>
          <w:rFonts w:hint="eastAsia" w:ascii="仿宋" w:hAnsi="仿宋" w:eastAsia="仿宋"/>
          <w:sz w:val="24"/>
          <w:szCs w:val="22"/>
          <w:highlight w:val="none"/>
        </w:rPr>
        <w:t>期限：</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2"/>
          <w:highlight w:val="none"/>
          <w:u w:val="single"/>
          <w:lang w:val="en-US" w:eastAsia="zh-CN"/>
        </w:rPr>
        <w:t>2026</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4"/>
          <w:highlight w:val="none"/>
          <w:u w:val="single" w:color="FF0000"/>
        </w:rPr>
        <w:t xml:space="preserve">年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日至  </w:t>
      </w:r>
      <w:r>
        <w:rPr>
          <w:rFonts w:hint="eastAsia" w:ascii="仿宋" w:hAnsi="仿宋" w:eastAsia="仿宋"/>
          <w:color w:val="FF0000"/>
          <w:sz w:val="24"/>
          <w:szCs w:val="24"/>
          <w:highlight w:val="none"/>
          <w:u w:val="single" w:color="FF0000"/>
          <w:lang w:val="en-US" w:eastAsia="zh-CN"/>
        </w:rPr>
        <w:t>2026</w:t>
      </w:r>
      <w:r>
        <w:rPr>
          <w:rFonts w:hint="eastAsia" w:ascii="仿宋" w:hAnsi="仿宋" w:eastAsia="仿宋"/>
          <w:color w:val="FF0000"/>
          <w:sz w:val="24"/>
          <w:szCs w:val="24"/>
          <w:highlight w:val="none"/>
          <w:u w:val="single" w:color="FF0000"/>
        </w:rPr>
        <w:t xml:space="preserve">  年 </w:t>
      </w:r>
      <w:r>
        <w:rPr>
          <w:rFonts w:hint="eastAsia" w:ascii="仿宋" w:hAnsi="仿宋" w:eastAsia="仿宋"/>
          <w:color w:val="FF0000"/>
          <w:sz w:val="24"/>
          <w:szCs w:val="24"/>
          <w:highlight w:val="none"/>
          <w:u w:val="single" w:color="FF0000"/>
          <w:lang w:val="en-US" w:eastAsia="zh-CN"/>
        </w:rPr>
        <w:t>12</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31</w:t>
      </w:r>
      <w:r>
        <w:rPr>
          <w:rFonts w:hint="eastAsia" w:ascii="仿宋" w:hAnsi="仿宋" w:eastAsia="仿宋"/>
          <w:color w:val="FF0000"/>
          <w:sz w:val="24"/>
          <w:szCs w:val="24"/>
          <w:highlight w:val="none"/>
          <w:u w:val="single" w:color="FF0000"/>
        </w:rPr>
        <w:t xml:space="preserve"> 日</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（2）在合同期内，甲方可根据租赁机械设备运行状况和操作人员表现及工程实际施工需要决定租赁期限。除特殊情况外，甲方停止租赁机械设备需提前</w:t>
      </w: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天通知乙方。</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（1）增值税发票开具时间：</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方应按结算周期在与</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方办理完对账结算后,在30天内向</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方提供周期结算的增值税发票。上一结算周期发票未按时提供的，不予办理下一期对账结算工作。</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rPr>
          <w:rFonts w:hint="eastAsia" w:ascii="仿宋" w:hAnsi="仿宋" w:eastAsia="仿宋"/>
          <w:color w:val="000000" w:themeColor="text1"/>
          <w:sz w:val="24"/>
          <w:szCs w:val="24"/>
          <w:highlight w:val="none"/>
          <w:lang w:val="en-US" w:eastAsia="zh-CN"/>
          <w14:textFill>
            <w14:solidFill>
              <w14:schemeClr w14:val="tx1"/>
            </w14:solidFill>
          </w14:textFill>
        </w:rPr>
        <w:t>（1）租金按</w:t>
      </w:r>
      <w:r>
        <w:rPr>
          <w:rFonts w:hint="eastAsia" w:ascii="仿宋" w:hAnsi="仿宋" w:eastAsia="仿宋"/>
          <w:color w:val="FF0000"/>
          <w:sz w:val="24"/>
          <w:szCs w:val="24"/>
          <w:highlight w:val="none"/>
          <w:u w:val="single"/>
          <w:lang w:val="en-US" w:eastAsia="zh-CN"/>
        </w:rPr>
        <w:t>月</w:t>
      </w:r>
      <w:r>
        <w:rPr>
          <w:rFonts w:hint="eastAsia" w:ascii="仿宋" w:hAnsi="仿宋" w:eastAsia="仿宋"/>
          <w:color w:val="000000" w:themeColor="text1"/>
          <w:sz w:val="24"/>
          <w:szCs w:val="24"/>
          <w:highlight w:val="none"/>
          <w:lang w:val="en-US" w:eastAsia="zh-CN"/>
          <w14:textFill>
            <w14:solidFill>
              <w14:schemeClr w14:val="tx1"/>
            </w14:solidFill>
          </w14:textFill>
        </w:rPr>
        <w:t>支付。在当期结算时，扣除现场实际发生的违约金和罚款、甲供材料费、农民工工资保证金等按合同约定应当扣除的款项后，以剩余款项作为当期结算，甲方在收到乙方开具的正式发票后，</w:t>
      </w:r>
      <w:r>
        <w:rPr>
          <w:rFonts w:hint="eastAsia" w:ascii="仿宋" w:hAnsi="仿宋" w:eastAsia="仿宋"/>
          <w:color w:val="FF0000"/>
          <w:sz w:val="24"/>
          <w:szCs w:val="24"/>
          <w:highlight w:val="none"/>
          <w:u w:val="single"/>
          <w:lang w:val="en-US" w:eastAsia="zh-CN"/>
        </w:rPr>
        <w:t xml:space="preserve">  15  </w:t>
      </w:r>
      <w:r>
        <w:rPr>
          <w:rFonts w:hint="eastAsia" w:ascii="仿宋" w:hAnsi="仿宋" w:eastAsia="仿宋"/>
          <w:color w:val="000000" w:themeColor="text1"/>
          <w:sz w:val="24"/>
          <w:szCs w:val="24"/>
          <w:highlight w:val="none"/>
          <w:lang w:val="en-US" w:eastAsia="zh-CN"/>
          <w14:textFill>
            <w14:solidFill>
              <w14:schemeClr w14:val="tx1"/>
            </w14:solidFill>
          </w14:textFill>
        </w:rPr>
        <w:t>日内向乙方支付当期结算金额的</w:t>
      </w:r>
      <w:r>
        <w:rPr>
          <w:rFonts w:hint="eastAsia" w:ascii="仿宋" w:hAnsi="仿宋" w:eastAsia="仿宋"/>
          <w:color w:val="FF0000"/>
          <w:sz w:val="24"/>
          <w:szCs w:val="24"/>
          <w:highlight w:val="none"/>
          <w:u w:val="single"/>
          <w:lang w:val="en-US" w:eastAsia="zh-CN"/>
        </w:rPr>
        <w:t xml:space="preserve">  80  </w:t>
      </w:r>
      <w:r>
        <w:rPr>
          <w:rFonts w:hint="eastAsia" w:ascii="仿宋" w:hAnsi="仿宋" w:eastAsia="仿宋"/>
          <w:color w:val="000000" w:themeColor="text1"/>
          <w:sz w:val="24"/>
          <w:szCs w:val="24"/>
          <w:highlight w:val="none"/>
          <w:lang w:val="en-US" w:eastAsia="zh-CN"/>
          <w14:textFill>
            <w14:solidFill>
              <w14:schemeClr w14:val="tx1"/>
            </w14:solidFill>
          </w14:textFill>
        </w:rPr>
        <w:t>%，剩余</w:t>
      </w:r>
      <w:r>
        <w:rPr>
          <w:rFonts w:hint="eastAsia" w:ascii="仿宋" w:hAnsi="仿宋" w:eastAsia="仿宋"/>
          <w:color w:val="FF0000"/>
          <w:sz w:val="24"/>
          <w:szCs w:val="24"/>
          <w:highlight w:val="none"/>
          <w:u w:val="single"/>
          <w:lang w:val="en-US" w:eastAsia="zh-CN"/>
        </w:rPr>
        <w:t xml:space="preserve">  20  </w:t>
      </w:r>
      <w:r>
        <w:rPr>
          <w:rFonts w:hint="eastAsia" w:ascii="仿宋" w:hAnsi="仿宋" w:eastAsia="仿宋"/>
          <w:color w:val="000000" w:themeColor="text1"/>
          <w:sz w:val="24"/>
          <w:szCs w:val="24"/>
          <w:highlight w:val="none"/>
          <w:lang w:val="en-US" w:eastAsia="zh-CN"/>
          <w14:textFill>
            <w14:solidFill>
              <w14:schemeClr w14:val="tx1"/>
            </w14:solidFill>
          </w14:textFill>
        </w:rPr>
        <w:t>%作为退场保证金，待租赁的机械设备安全退场后</w:t>
      </w:r>
      <w:r>
        <w:rPr>
          <w:rFonts w:hint="eastAsia" w:ascii="仿宋" w:hAnsi="仿宋" w:eastAsia="仿宋"/>
          <w:color w:val="FF0000"/>
          <w:sz w:val="24"/>
          <w:szCs w:val="24"/>
          <w:highlight w:val="none"/>
          <w:u w:val="single"/>
          <w:lang w:val="en-US" w:eastAsia="zh-CN"/>
        </w:rPr>
        <w:t xml:space="preserve">    </w:t>
      </w:r>
      <w:r>
        <w:rPr>
          <w:rFonts w:hint="eastAsia" w:ascii="仿宋" w:hAnsi="仿宋" w:eastAsia="仿宋"/>
          <w:color w:val="000000" w:themeColor="text1"/>
          <w:sz w:val="24"/>
          <w:szCs w:val="24"/>
          <w:highlight w:val="none"/>
          <w:lang w:val="en-US" w:eastAsia="zh-CN"/>
          <w14:textFill>
            <w14:solidFill>
              <w14:schemeClr w14:val="tx1"/>
            </w14:solidFill>
          </w14:textFill>
        </w:rPr>
        <w:t>日内无</w:t>
      </w:r>
      <w:r>
        <w:rPr>
          <w:rFonts w:hint="eastAsia" w:ascii="仿宋" w:hAnsi="仿宋" w:eastAsia="仿宋"/>
          <w:color w:val="auto"/>
          <w:sz w:val="24"/>
          <w:szCs w:val="24"/>
          <w:highlight w:val="none"/>
          <w:lang w:val="en-US" w:eastAsia="zh-CN"/>
        </w:rPr>
        <w:t>息支付。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单位名称（章）：云南署舜建筑有限公司</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单位名称（章）：盘龙区伟耀建筑劳务部</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r:id="rId3" w:type="default"/>
      <w:footerReference r:id="rId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