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E258A2">
      <w:pPr>
        <w:spacing w:before="1200"/>
        <w:jc w:val="center"/>
      </w:pPr>
      <w:r>
        <w:rPr>
          <w:b/>
          <w:color w:val="1A3C6E"/>
          <w:sz w:val="56"/>
        </w:rPr>
        <w:t>新华保险·宏御世家</w:t>
      </w:r>
    </w:p>
    <w:p w14:paraId="54C7413E">
      <w:pPr>
        <w:spacing w:before="160"/>
        <w:jc w:val="center"/>
      </w:pPr>
      <w:r>
        <w:rPr>
          <w:color w:val="555555"/>
          <w:sz w:val="36"/>
        </w:rPr>
        <w:t>分红型增额终身寿险——知识问答卡片</w:t>
      </w:r>
    </w:p>
    <w:p w14:paraId="6BA11F23">
      <w:pPr>
        <w:pBdr>
          <w:bottom w:val="single" w:color="1A3C6E" w:sz="12" w:space="1"/>
        </w:pBdr>
        <w:spacing w:before="600"/>
        <w:jc w:val="center"/>
      </w:pPr>
    </w:p>
    <w:p w14:paraId="31CF4E73">
      <w:pPr>
        <w:spacing w:before="400"/>
        <w:jc w:val="center"/>
      </w:pPr>
      <w:r>
        <w:rPr>
          <w:b/>
          <w:color w:val="1A3C6E"/>
          <w:sz w:val="28"/>
        </w:rPr>
        <w:t>产品要素速览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9"/>
        <w:gridCol w:w="7167"/>
      </w:tblGrid>
      <w:tr w14:paraId="6A12E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7C3B9">
            <w:pPr>
              <w:jc w:val="center"/>
            </w:pPr>
            <w:r>
              <w:rPr>
                <w:b/>
                <w:color w:val="FFFFFF"/>
                <w:sz w:val="24"/>
              </w:rPr>
              <w:t>产品名称</w:t>
            </w:r>
          </w:p>
        </w:tc>
        <w:tc>
          <w:tcPr>
            <w:tcW w:w="1440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33FE6">
            <w:r>
              <w:rPr>
                <w:b/>
                <w:color w:val="1A3C6E"/>
                <w:sz w:val="24"/>
              </w:rPr>
              <w:t>新华人寿·宏御世家（分红型增额终身寿险）</w:t>
            </w:r>
          </w:p>
        </w:tc>
      </w:tr>
      <w:tr w14:paraId="77D31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B9207">
            <w:pPr>
              <w:jc w:val="center"/>
            </w:pPr>
            <w:r>
              <w:rPr>
                <w:rFonts w:ascii="SimHei" w:hAnsi="SimHei" w:eastAsia="SimHei" w:cs="SimHei"/>
                <w:b/>
                <w:sz w:val="22"/>
              </w:rPr>
              <w:t>投保示例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4A5D8">
            <w:r>
              <w:rPr>
                <w:sz w:val="22"/>
              </w:rPr>
              <w:t>40周岁男性，年交保费10万元，交费期3年，基本保险金额271,200元</w:t>
            </w:r>
          </w:p>
        </w:tc>
      </w:tr>
      <w:tr w14:paraId="7247F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E28F0">
            <w:pPr>
              <w:jc w:val="center"/>
            </w:pPr>
            <w:r>
              <w:rPr>
                <w:rFonts w:ascii="SimHei" w:hAnsi="SimHei" w:eastAsia="SimHei" w:cs="SimHei"/>
                <w:b/>
                <w:sz w:val="22"/>
              </w:rPr>
              <w:t>保证部分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3F3CD">
            <w:r>
              <w:rPr>
                <w:sz w:val="22"/>
              </w:rPr>
              <w:t>固定保底利率 1.75%（写入合同）</w:t>
            </w:r>
          </w:p>
        </w:tc>
      </w:tr>
      <w:tr w14:paraId="490AA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47382">
            <w:pPr>
              <w:jc w:val="center"/>
            </w:pPr>
            <w:r>
              <w:rPr>
                <w:rFonts w:ascii="SimHei" w:hAnsi="SimHei" w:eastAsia="SimHei" w:cs="SimHei"/>
                <w:b/>
                <w:sz w:val="22"/>
              </w:rPr>
              <w:t>分红部分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55822">
            <w:r>
              <w:rPr>
                <w:sz w:val="22"/>
              </w:rPr>
              <w:t>以预定利率 3.5% 演示，分红收益 ≈ 1.225%（3.5%-1.75%=1.75%，1.75%×0.7≈1.225%）</w:t>
            </w:r>
          </w:p>
        </w:tc>
      </w:tr>
      <w:tr w14:paraId="49BF0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5F01E">
            <w:pPr>
              <w:jc w:val="center"/>
            </w:pPr>
            <w:r>
              <w:rPr>
                <w:rFonts w:ascii="SimHei" w:hAnsi="SimHei" w:eastAsia="SimHei" w:cs="SimHei"/>
                <w:b/>
                <w:sz w:val="22"/>
              </w:rPr>
              <w:t>红利领取方式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3575E">
            <w:r>
              <w:rPr>
                <w:sz w:val="22"/>
              </w:rPr>
              <w:t>交清增额（以红利趸缴购买增额保险，保额逐年递增）</w:t>
            </w:r>
          </w:p>
        </w:tc>
      </w:tr>
    </w:tbl>
    <w:p w14:paraId="359BAA76">
      <w:r>
        <w:br w:type="page"/>
      </w:r>
    </w:p>
    <w:p w14:paraId="3E2442F2">
      <w:pPr>
        <w:spacing w:before="0" w:after="240"/>
        <w:jc w:val="center"/>
      </w:pPr>
      <w:r>
        <w:rPr>
          <w:b/>
          <w:color w:val="1A3C6E"/>
          <w:sz w:val="36"/>
        </w:rPr>
        <w:t>📖 一张图看懂利益演示表</w:t>
      </w:r>
    </w:p>
    <w:p w14:paraId="50D472E6">
      <w:r>
        <w:drawing>
          <wp:inline distT="0" distB="0" distL="114300" distR="114300">
            <wp:extent cx="5303520" cy="494538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4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9D62">
      <w:pPr>
        <w:jc w:val="center"/>
        <w:rPr>
          <w:rFonts w:hint="default"/>
        </w:rPr>
      </w:pPr>
      <w:r>
        <w:rPr>
          <w:color w:val="888888"/>
          <w:sz w:val="20"/>
        </w:rPr>
        <w:t>▲ 利益演示表角标说明图</w:t>
      </w:r>
    </w:p>
    <w:p w14:paraId="1E236FDC">
      <w:pPr>
        <w:spacing w:before="320" w:after="200"/>
      </w:pPr>
      <w:r>
        <w:rPr>
          <w:sz w:val="23"/>
        </w:rPr>
        <w:t>该利益演示表针对一款分红型增额终身寿险产品，以投保示例（40岁男性、年交10万、3年交）展示保单在不同年度的现金价值与保障增长情况。表格分为三大板块，五个角标分别指向关键数据列：</w:t>
      </w:r>
    </w:p>
    <w:p w14:paraId="4CAF12A0">
      <w:pPr>
        <w:spacing w:before="200" w:after="80"/>
      </w:pPr>
      <w:r>
        <w:rPr>
          <w:b/>
          <w:color w:val="8B0000"/>
          <w:sz w:val="23"/>
        </w:rPr>
        <w:t>① 基本保险金额对应的现金价值</w:t>
      </w:r>
    </w:p>
    <w:p w14:paraId="52E9B70E">
      <w:pPr>
        <w:spacing w:after="80"/>
        <w:ind w:firstLine="480"/>
      </w:pPr>
      <w:r>
        <w:rPr>
          <w:sz w:val="22"/>
        </w:rPr>
        <w:t>写入合同的保证部分现金价值，即使没有分红也确定给付。退保时首先看这列。</w:t>
      </w:r>
    </w:p>
    <w:p w14:paraId="27812FB8">
      <w:pPr>
        <w:spacing w:before="200" w:after="80"/>
      </w:pPr>
      <w:r>
        <w:rPr>
          <w:b/>
          <w:color w:val="8B0000"/>
          <w:sz w:val="23"/>
        </w:rPr>
        <w:t>② 红利部分——年度交清增额对应的基本保险金额</w:t>
      </w:r>
    </w:p>
    <w:p w14:paraId="5D8A1934">
      <w:pPr>
        <w:spacing w:after="80"/>
        <w:ind w:firstLine="480"/>
      </w:pPr>
      <w:r>
        <w:rPr>
          <w:sz w:val="22"/>
        </w:rPr>
        <w:t>每年红利分配后，用当年红利折算成一次性保费买进的新增保额。演示表第10列，第1年987元、第3年3372元……每年不同。</w:t>
      </w:r>
    </w:p>
    <w:p w14:paraId="158647B3">
      <w:pPr>
        <w:spacing w:before="200" w:after="80"/>
      </w:pPr>
      <w:r>
        <w:rPr>
          <w:b/>
          <w:color w:val="8B0000"/>
          <w:sz w:val="23"/>
        </w:rPr>
        <w:t>③ 红利部分——累积交清增额对应的基本保险金额</w:t>
      </w:r>
    </w:p>
    <w:p w14:paraId="0CB636B8">
      <w:pPr>
        <w:spacing w:after="80"/>
        <w:ind w:firstLine="480"/>
      </w:pPr>
      <w:r>
        <w:rPr>
          <w:sz w:val="22"/>
        </w:rPr>
        <w:t>历年所有②的累加总和。演示表第11列，代表红利增额的总累计保额。第65年累积达313,310元。</w:t>
      </w:r>
    </w:p>
    <w:p w14:paraId="70BBAC16">
      <w:pPr>
        <w:spacing w:before="200" w:after="80"/>
      </w:pPr>
      <w:r>
        <w:rPr>
          <w:b/>
          <w:color w:val="8B0000"/>
          <w:sz w:val="23"/>
        </w:rPr>
        <w:t>④ 红利部分——交清增额保险对应的现金价值</w:t>
      </w:r>
    </w:p>
    <w:p w14:paraId="591662D9">
      <w:pPr>
        <w:spacing w:after="80"/>
        <w:ind w:firstLine="480"/>
      </w:pPr>
      <w:r>
        <w:rPr>
          <w:sz w:val="22"/>
        </w:rPr>
        <w:t>所有交清增额保单各自独立增长的现金价值之和。演示表第13列，退保时这项 + ① 就是客户能拿到的总现金价值。第65年达950,990元。</w:t>
      </w:r>
    </w:p>
    <w:p w14:paraId="47BA24F0">
      <w:pPr>
        <w:spacing w:before="200" w:after="80"/>
      </w:pPr>
      <w:r>
        <w:rPr>
          <w:b/>
          <w:color w:val="8B0000"/>
          <w:sz w:val="23"/>
        </w:rPr>
        <w:t>⑤ 保证利益演示（全部为0）—— 为什么红利保证部分可以是0？</w:t>
      </w:r>
    </w:p>
    <w:p w14:paraId="40917553">
      <w:pPr>
        <w:spacing w:after="80"/>
        <w:ind w:firstLine="480"/>
      </w:pPr>
      <w:r>
        <w:rPr>
          <w:sz w:val="22"/>
        </w:rPr>
        <w:t>保证利益演示的4列（第6-9列）全部为0。这是因为在分红型产品中，"保证利益"指合同中确定给付的最低部分，而红利分配是非保证的。中国银保监会规定，保险公司必须在演示表中单独列示保证利益，且红利水平在某些年份可能为0。此处采用"交清增额"的红利方式，所以保证利益部分无额外增额，所有增值均体现在红利利益部分。</w:t>
      </w:r>
    </w:p>
    <w:p w14:paraId="7DB7EE23">
      <w:pPr>
        <w:spacing w:before="320" w:after="200"/>
      </w:pPr>
      <w:r>
        <w:rPr>
          <w:b/>
          <w:color w:val="006600"/>
          <w:sz w:val="28"/>
        </w:rPr>
        <w:t>💡 核心结论：客户最终拿到的钱 = ① + ④</w:t>
      </w:r>
    </w:p>
    <w:p w14:paraId="2C4CF197">
      <w:pPr>
        <w:spacing w:after="120"/>
        <w:ind w:firstLine="480"/>
      </w:pPr>
      <w:r>
        <w:rPr>
          <w:sz w:val="23"/>
        </w:rPr>
        <w:t>退保时：总现金价值 = ①基本保险金额现金价值 + ④交清增额保险对应的现金价值</w:t>
      </w:r>
      <w:r>
        <w:rPr>
          <w:sz w:val="23"/>
        </w:rPr>
        <w:br w:type="textWrapping"/>
      </w:r>
      <w:r>
        <w:rPr>
          <w:sz w:val="23"/>
        </w:rPr>
        <w:t>身故/全残理赔时：总保险金 = ①身故/全残保险金 + ④交清增额对应的身故/全残保险金</w:t>
      </w:r>
      <w:r>
        <w:rPr>
          <w:sz w:val="23"/>
        </w:rPr>
        <w:br w:type="textWrapping"/>
      </w:r>
      <w:r>
        <w:rPr>
          <w:sz w:val="23"/>
        </w:rPr>
        <w:t>②③⑤为过程性数据，帮助理解红利如何转化为保额增长。</w:t>
      </w:r>
    </w:p>
    <w:p w14:paraId="74E4A013">
      <w:r>
        <w:br w:type="page"/>
      </w:r>
      <w:bookmarkStart w:id="0" w:name="_GoBack"/>
      <w:bookmarkEnd w:id="0"/>
    </w:p>
    <w:p w14:paraId="1AE4B9D2">
      <w:pPr>
        <w:spacing w:before="0" w:after="400"/>
        <w:jc w:val="center"/>
      </w:pPr>
      <w:r>
        <w:rPr>
          <w:b/>
          <w:color w:val="1A3C6E"/>
          <w:sz w:val="36"/>
        </w:rPr>
        <w:t>五个角标详细解读</w:t>
      </w:r>
    </w:p>
    <w:p w14:paraId="4F954053">
      <w:pPr>
        <w:spacing w:before="280" w:after="120"/>
      </w:pPr>
      <w:r>
        <w:rPr>
          <w:b/>
          <w:color w:val="8B0000"/>
          <w:sz w:val="26"/>
        </w:rPr>
        <w:t>① 基本保险金额对应的现金价值</w:t>
      </w:r>
    </w:p>
    <w:p w14:paraId="3E6EA584">
      <w:pPr>
        <w:spacing w:after="80"/>
        <w:ind w:firstLine="480"/>
      </w:pPr>
      <w:r>
        <w:rPr>
          <w:sz w:val="22"/>
        </w:rPr>
        <w:t>这是保单中写入合同的保证部分，对应表格第5列。无论保险公司分红业务经营情况如何，这部分现金价值都是确定给付的。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退保时，首先要看这列的数值。以本投保示例为例：</w:t>
      </w:r>
      <w:r>
        <w:rPr>
          <w:sz w:val="22"/>
        </w:rPr>
        <w:br w:type="textWrapping"/>
      </w:r>
      <w:r>
        <w:rPr>
          <w:sz w:val="22"/>
        </w:rPr>
        <w:t>• 第1年：29,300元（早期退保损失较大）</w:t>
      </w:r>
      <w:r>
        <w:rPr>
          <w:sz w:val="22"/>
        </w:rPr>
        <w:br w:type="textWrapping"/>
      </w:r>
      <w:r>
        <w:rPr>
          <w:sz w:val="22"/>
        </w:rPr>
        <w:t>• 第10年：321,000元（已超过总保费30万）</w:t>
      </w:r>
      <w:r>
        <w:rPr>
          <w:sz w:val="22"/>
        </w:rPr>
        <w:br w:type="textWrapping"/>
      </w:r>
      <w:r>
        <w:rPr>
          <w:sz w:val="22"/>
        </w:rPr>
        <w:t>• 第65年：823,200元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注意：此列数据不含任何红利收益，是纯粹的保证部分。</w:t>
      </w:r>
    </w:p>
    <w:p w14:paraId="516CB7E6">
      <w:pPr>
        <w:pBdr>
          <w:bottom w:val="single" w:color="CCCCCC" w:sz="4" w:space="1"/>
        </w:pBdr>
      </w:pPr>
    </w:p>
    <w:p w14:paraId="30C366C2">
      <w:pPr>
        <w:spacing w:before="280" w:after="120"/>
      </w:pPr>
      <w:r>
        <w:rPr>
          <w:b/>
          <w:color w:val="8B0000"/>
          <w:sz w:val="26"/>
        </w:rPr>
        <w:t>② 红利部分——年度交清增额基本保险金额</w:t>
      </w:r>
    </w:p>
    <w:p w14:paraId="342E07DF">
      <w:pPr>
        <w:spacing w:after="80"/>
        <w:ind w:firstLine="480"/>
      </w:pPr>
      <w:r>
        <w:rPr>
          <w:sz w:val="22"/>
        </w:rPr>
        <w:t>对应演示表第10列，是每年红利分配后，用当年的红利作为一次性保费（趸缴）购买的那份增额保险的"基本保额"。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通俗理解：每年保险公司说"今年您分红了X元"，这笔钱您没拿现金，而是直接折成保费，买了一份小额的终身寿险。这份小保单的基本保额就是"年度交清增额基本保险金额"。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以演示表为例：</w:t>
      </w:r>
      <w:r>
        <w:rPr>
          <w:sz w:val="22"/>
        </w:rPr>
        <w:br w:type="textWrapping"/>
      </w:r>
      <w:r>
        <w:rPr>
          <w:sz w:val="22"/>
        </w:rPr>
        <w:t>• 第1年：987元</w:t>
      </w:r>
      <w:r>
        <w:rPr>
          <w:sz w:val="22"/>
        </w:rPr>
        <w:br w:type="textWrapping"/>
      </w:r>
      <w:r>
        <w:rPr>
          <w:sz w:val="22"/>
        </w:rPr>
        <w:t>• 第2年：2,184元</w:t>
      </w:r>
      <w:r>
        <w:rPr>
          <w:sz w:val="22"/>
        </w:rPr>
        <w:br w:type="textWrapping"/>
      </w:r>
      <w:r>
        <w:rPr>
          <w:sz w:val="22"/>
        </w:rPr>
        <w:t>• 第3年：3,372元</w:t>
      </w:r>
      <w:r>
        <w:rPr>
          <w:sz w:val="22"/>
        </w:rPr>
        <w:br w:type="textWrapping"/>
      </w:r>
      <w:r>
        <w:rPr>
          <w:sz w:val="22"/>
        </w:rPr>
        <w:t>• …</w:t>
      </w:r>
      <w:r>
        <w:rPr>
          <w:sz w:val="22"/>
        </w:rPr>
        <w:br w:type="textWrapping"/>
      </w:r>
      <w:r>
        <w:rPr>
          <w:sz w:val="22"/>
        </w:rPr>
        <w:t>• 第65年：6,954元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每年数值不同，取决于当年分红的多少。</w:t>
      </w:r>
    </w:p>
    <w:p w14:paraId="282E869D">
      <w:pPr>
        <w:pBdr>
          <w:bottom w:val="single" w:color="CCCCCC" w:sz="4" w:space="1"/>
        </w:pBdr>
      </w:pPr>
    </w:p>
    <w:p w14:paraId="7BE99DF1">
      <w:pPr>
        <w:spacing w:before="280" w:after="120"/>
      </w:pPr>
      <w:r>
        <w:rPr>
          <w:b/>
          <w:color w:val="8B0000"/>
          <w:sz w:val="26"/>
        </w:rPr>
        <w:t>③ 红利部分——累积交清增额基本保险金额</w:t>
      </w:r>
    </w:p>
    <w:p w14:paraId="6E74C545">
      <w:pPr>
        <w:spacing w:after="80"/>
        <w:ind w:firstLine="480"/>
      </w:pPr>
      <w:r>
        <w:rPr>
          <w:sz w:val="22"/>
        </w:rPr>
        <w:t>对应演示表第11列，是历年所有的②（年度交清增额基本保险金额）累加在一起的总和。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通俗理解：就像往储蓄罐里每年投一枚硬币，"累积交清增额"就是罐子里所有硬币加起来的总额。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以演示表为例：</w:t>
      </w:r>
      <w:r>
        <w:rPr>
          <w:sz w:val="22"/>
        </w:rPr>
        <w:br w:type="textWrapping"/>
      </w:r>
      <w:r>
        <w:rPr>
          <w:sz w:val="22"/>
        </w:rPr>
        <w:t>• 第1年累积 = 987元（= 第1年新增）</w:t>
      </w:r>
      <w:r>
        <w:rPr>
          <w:sz w:val="22"/>
        </w:rPr>
        <w:br w:type="textWrapping"/>
      </w:r>
      <w:r>
        <w:rPr>
          <w:sz w:val="22"/>
        </w:rPr>
        <w:t>• 第2年累积 = 3,171元（= 第1年987 + 第2年新增2,184）</w:t>
      </w:r>
      <w:r>
        <w:rPr>
          <w:sz w:val="22"/>
        </w:rPr>
        <w:br w:type="textWrapping"/>
      </w:r>
      <w:r>
        <w:rPr>
          <w:sz w:val="22"/>
        </w:rPr>
        <w:t>• 第10年累积 = 31,218元</w:t>
      </w:r>
      <w:r>
        <w:rPr>
          <w:sz w:val="22"/>
        </w:rPr>
        <w:br w:type="textWrapping"/>
      </w:r>
      <w:r>
        <w:rPr>
          <w:sz w:val="22"/>
        </w:rPr>
        <w:t>• 第65年累积 = 313,310元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可以看到，随着时间推移，累积保额越来越大，到第65年红利增额累积保额已超过基本保额（271,200元）。</w:t>
      </w:r>
    </w:p>
    <w:p w14:paraId="3870D440">
      <w:pPr>
        <w:pBdr>
          <w:bottom w:val="single" w:color="CCCCCC" w:sz="4" w:space="1"/>
        </w:pBdr>
      </w:pPr>
    </w:p>
    <w:p w14:paraId="564F061D">
      <w:pPr>
        <w:spacing w:before="280" w:after="120"/>
      </w:pPr>
      <w:r>
        <w:rPr>
          <w:b/>
          <w:color w:val="8B0000"/>
          <w:sz w:val="26"/>
        </w:rPr>
        <w:t>④ 红利部分——交清增额保险对应的现金价值</w:t>
      </w:r>
    </w:p>
    <w:p w14:paraId="2AEE2BB4">
      <w:pPr>
        <w:spacing w:after="80"/>
        <w:ind w:firstLine="480"/>
      </w:pPr>
      <w:r>
        <w:rPr>
          <w:sz w:val="22"/>
        </w:rPr>
        <w:t>对应演示表第13列，是所有交清增额保单各自独立增长的现金价值的总和。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关键区分：②③是"保额"概念，④是"现价"概念</w:t>
      </w:r>
      <w:r>
        <w:rPr>
          <w:sz w:val="22"/>
        </w:rPr>
        <w:br w:type="textWrapping"/>
      </w:r>
      <w:r>
        <w:rPr>
          <w:sz w:val="22"/>
        </w:rPr>
        <w:t>• 保额（②/③）：买进去时约定的赔付标准线</w:t>
      </w:r>
      <w:r>
        <w:rPr>
          <w:sz w:val="22"/>
        </w:rPr>
        <w:br w:type="textWrapping"/>
      </w:r>
      <w:r>
        <w:rPr>
          <w:sz w:val="22"/>
        </w:rPr>
        <w:t>• 现价（④）：退保时能拿到的钱，每年独立复利增长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每一份交清增额保单都有独立的现价曲线：</w:t>
      </w:r>
      <w:r>
        <w:rPr>
          <w:sz w:val="22"/>
        </w:rPr>
        <w:br w:type="textWrapping"/>
      </w:r>
      <w:r>
        <w:rPr>
          <w:sz w:val="22"/>
        </w:rPr>
        <w:t>• 第1年买的那份（987元保额），第1年现价才489元（&lt; 保额，正常）</w:t>
      </w:r>
      <w:r>
        <w:rPr>
          <w:sz w:val="22"/>
        </w:rPr>
        <w:br w:type="textWrapping"/>
      </w:r>
      <w:r>
        <w:rPr>
          <w:sz w:val="22"/>
        </w:rPr>
        <w:t>• 随着时间的推移，它的现价不断增长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到第10年时：</w:t>
      </w:r>
      <w:r>
        <w:rPr>
          <w:sz w:val="22"/>
        </w:rPr>
        <w:br w:type="textWrapping"/>
      </w:r>
      <w:r>
        <w:rPr>
          <w:sz w:val="22"/>
        </w:rPr>
        <w:t>• 累积保额（③）= 31,218元</w:t>
      </w:r>
      <w:r>
        <w:rPr>
          <w:sz w:val="22"/>
        </w:rPr>
        <w:br w:type="textWrapping"/>
      </w:r>
      <w:r>
        <w:rPr>
          <w:sz w:val="22"/>
        </w:rPr>
        <w:t>• 对应现价（④）= 36,494元</w:t>
      </w:r>
      <w:r>
        <w:rPr>
          <w:sz w:val="22"/>
        </w:rPr>
        <w:br w:type="textWrapping"/>
      </w:r>
      <w:r>
        <w:rPr>
          <w:sz w:val="22"/>
        </w:rPr>
        <w:t>• 现价已经超过保额，因为早年买的"老保单"现价涨上来了</w:t>
      </w:r>
    </w:p>
    <w:p w14:paraId="33A52F98">
      <w:pPr>
        <w:pBdr>
          <w:bottom w:val="single" w:color="CCCCCC" w:sz="4" w:space="1"/>
        </w:pBdr>
      </w:pPr>
    </w:p>
    <w:p w14:paraId="74D5CEE3">
      <w:pPr>
        <w:spacing w:before="280" w:after="120"/>
      </w:pPr>
      <w:r>
        <w:rPr>
          <w:b/>
          <w:color w:val="8B0000"/>
          <w:sz w:val="26"/>
        </w:rPr>
        <w:t>⑤ 为什么红利保证部分可以是0？</w:t>
      </w:r>
    </w:p>
    <w:p w14:paraId="55D87FE1">
      <w:pPr>
        <w:spacing w:after="80"/>
        <w:ind w:firstLine="480"/>
      </w:pPr>
      <w:r>
        <w:rPr>
          <w:sz w:val="22"/>
        </w:rPr>
        <w:t>对应演示表第6-9列（保证利益演示板块），此处全部为0。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这是因为：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 xml:space="preserve"> 分红型产品的"保证利益"与"红利利益"是分开演示的</w:t>
      </w:r>
      <w:r>
        <w:rPr>
          <w:sz w:val="22"/>
        </w:rPr>
        <w:br w:type="textWrapping"/>
      </w:r>
      <w:r>
        <w:rPr>
          <w:sz w:val="22"/>
        </w:rPr>
        <w:t xml:space="preserve">   保证利益演示中，只展示合同确定保证的部分（不含任何红利预期）。而本演示采用的是"交清增额"红利领取方式，红利部分全部在③（红利利益演示）中展示，保证利益部分自然为0。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中国银保监会监管要求</w:t>
      </w:r>
      <w:r>
        <w:rPr>
          <w:sz w:val="22"/>
        </w:rPr>
        <w:br w:type="textWrapping"/>
      </w:r>
      <w:r>
        <w:rPr>
          <w:sz w:val="22"/>
        </w:rPr>
        <w:t xml:space="preserve">   根据监管规定，保险公司在进行利益演示时，必须将保证利益和红利利益分开展示，且明确标注红利为非保证收益。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红利水平在特定年份确实可能为0</w:t>
      </w:r>
      <w:r>
        <w:rPr>
          <w:sz w:val="22"/>
        </w:rPr>
        <w:br w:type="textWrapping"/>
      </w:r>
      <w:r>
        <w:rPr>
          <w:sz w:val="22"/>
        </w:rPr>
        <w:t xml:space="preserve">   根据产品条款："保单红利是不确定的。""在某些年度红利可能为零。"这意味着：</w:t>
      </w:r>
      <w:r>
        <w:rPr>
          <w:sz w:val="22"/>
        </w:rPr>
        <w:br w:type="textWrapping"/>
      </w:r>
      <w:r>
        <w:rPr>
          <w:sz w:val="22"/>
        </w:rPr>
        <w:t xml:space="preserve">   • 保险公司分红业务的经营状况直接影响年度红利分配</w:t>
      </w:r>
      <w:r>
        <w:rPr>
          <w:sz w:val="22"/>
        </w:rPr>
        <w:br w:type="textWrapping"/>
      </w:r>
      <w:r>
        <w:rPr>
          <w:sz w:val="22"/>
        </w:rPr>
        <w:t xml:space="preserve">   • 如果投资收益不达预期，当年分红可能为0</w:t>
      </w:r>
      <w:r>
        <w:rPr>
          <w:sz w:val="22"/>
        </w:rPr>
        <w:br w:type="textWrapping"/>
      </w:r>
      <w:r>
        <w:rPr>
          <w:sz w:val="22"/>
        </w:rPr>
        <w:t xml:space="preserve">   • 但这不影响合同保证部分的现金价值和保障责任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⚠️ 重要提示：表中的红利利益数据仅为演示，实际分红取决于保险公司分红保险业务的实际经营状况，不构成对未来的承诺。</w:t>
      </w:r>
    </w:p>
    <w:p w14:paraId="0A4A20E9">
      <w:pPr>
        <w:pBdr>
          <w:bottom w:val="single" w:color="CCCCCC" w:sz="4" w:space="1"/>
        </w:pBdr>
      </w:pPr>
    </w:p>
    <w:p w14:paraId="1E14810F">
      <w:pPr>
        <w:spacing w:before="280" w:after="120"/>
      </w:pPr>
      <w:r>
        <w:rPr>
          <w:b/>
          <w:color w:val="8B0000"/>
          <w:sz w:val="26"/>
        </w:rPr>
        <w:t>Q：客户最终拿到的钱是哪几部分？</w:t>
      </w:r>
    </w:p>
    <w:p w14:paraId="0D433090">
      <w:pPr>
        <w:spacing w:after="80"/>
        <w:ind w:firstLine="480"/>
      </w:pPr>
      <w:r>
        <w:rPr>
          <w:sz w:val="22"/>
        </w:rPr>
        <w:t>答：客户最终拿到的钱 = ① + ④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退保（拿现金价值）：</w:t>
      </w:r>
      <w:r>
        <w:rPr>
          <w:sz w:val="22"/>
        </w:rPr>
        <w:br w:type="textWrapping"/>
      </w:r>
      <w:r>
        <w:rPr>
          <w:sz w:val="22"/>
        </w:rPr>
        <w:t xml:space="preserve">   总现金价值 = ①基本保险金额现金价值 + ④交清增额保险对应的现金价值</w:t>
      </w:r>
      <w:r>
        <w:rPr>
          <w:sz w:val="22"/>
        </w:rPr>
        <w:br w:type="textWrapping"/>
      </w:r>
      <w:r>
        <w:rPr>
          <w:sz w:val="22"/>
        </w:rPr>
        <w:t xml:space="preserve">   以第65年为例：823,200 + 950,990 = 1,774,190元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身故/全残理赔：</w:t>
      </w:r>
      <w:r>
        <w:rPr>
          <w:sz w:val="22"/>
        </w:rPr>
        <w:br w:type="textWrapping"/>
      </w:r>
      <w:r>
        <w:rPr>
          <w:sz w:val="22"/>
        </w:rPr>
        <w:t xml:space="preserve">   总保险金 = ①身故/全残保险金 + ④交清增额对应的身故/全残保险金</w:t>
      </w:r>
      <w:r>
        <w:rPr>
          <w:sz w:val="22"/>
        </w:rPr>
        <w:br w:type="textWrapping"/>
      </w:r>
      <w:r>
        <w:rPr>
          <w:sz w:val="22"/>
        </w:rPr>
        <w:t xml:space="preserve">   以第65年为例：823,200 + 950,992 = 1,774,192元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②③⑤为辅助理解数据，不直接构成客户最终收益。</w:t>
      </w:r>
    </w:p>
    <w:p w14:paraId="6E95F594">
      <w:pPr>
        <w:spacing w:before="200"/>
      </w:pPr>
      <w:r>
        <w:rPr>
          <w:i/>
          <w:color w:val="993333"/>
          <w:sz w:val="20"/>
        </w:rPr>
        <w:t>️ 以上为红利利益演示数据，实际红利为非保证收益，取决于保险公司实际经营情况。</w:t>
      </w:r>
      <w:r>
        <w:rPr>
          <w:i/>
          <w:color w:val="993333"/>
          <w:sz w:val="20"/>
        </w:rPr>
        <w:br w:type="textWrapping"/>
      </w:r>
    </w:p>
    <w:sectPr>
      <w:footerReference r:id="rId5" w:type="default"/>
      <w:pgSz w:w="11906" w:h="16838"/>
      <w:pgMar w:top="1134" w:right="1440" w:bottom="1134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HarmonyOS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Noto Sans CJK SC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libri">
    <w:altName w:val="HarmonyOS Sans"/>
    <w:panose1 w:val="020F0502020204030204"/>
    <w:charset w:val="00"/>
    <w:family w:val="swiss"/>
    <w:pitch w:val="default"/>
    <w:sig w:usb0="00000000" w:usb1="00000000" w:usb2="00000009" w:usb3="00000000" w:csb0="200001FF" w:csb1="00000000"/>
  </w:font>
  <w:font w:name="书宋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HarmonyOS Sans SC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mbria">
    <w:altName w:val="Noto Sans Medefaidrin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Noto Sans Medefaidrin">
    <w:panose1 w:val="02020502060505020204"/>
    <w:charset w:val="00"/>
    <w:family w:val="auto"/>
    <w:pitch w:val="default"/>
    <w:sig w:usb0="00000001" w:usb1="02000000" w:usb2="00000000" w:usb3="00000000" w:csb0="00000001" w:csb1="00000000"/>
  </w:font>
  <w:font w:name="ＭＳ 明朝">
    <w:altName w:val="书宋-简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书宋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Hei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书宋-简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ourier">
    <w:altName w:val="DejaVu Math TeX Gyre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HMOS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HMOS Color Emoji Flags">
    <w:panose1 w:val="02000609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E5ABEE">
    <w:pPr>
      <w:pStyle w:val="24"/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FEFB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SimSun" w:hAnsi="SimSun" w:eastAsia="SimSun" w:cs="SimSun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240"/>
      <w:outlineLvl w:val="0"/>
    </w:pPr>
    <w:rPr>
      <w:rFonts w:hAnsi="SimHei" w:eastAsia="SimHei" w:cs="SimHei" w:asciiTheme="majorHAns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180"/>
      <w:outlineLvl w:val="1"/>
    </w:pPr>
    <w:rPr>
      <w:rFonts w:hAnsi="SimHei" w:eastAsia="SimHei" w:cs="SimHei" w:asciiTheme="majorHAns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120"/>
      <w:outlineLvl w:val="2"/>
    </w:pPr>
    <w:rPr>
      <w:rFonts w:hAnsi="SimHei" w:eastAsia="SimHei" w:cs="SimHei" w:asciiTheme="majorHAnsi"/>
      <w:b/>
      <w:bCs/>
      <w:color w:val="000000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120" w:after="120"/>
      <w:outlineLvl w:val="3"/>
    </w:pPr>
    <w:rPr>
      <w:rFonts w:hAnsi="SimHei" w:eastAsia="SimHei" w:cs="SimHei" w:asciiTheme="majorHAnsi"/>
      <w:b/>
      <w:bCs/>
      <w:i/>
      <w:iCs/>
      <w:color w:val="000000"/>
      <w:sz w:val="24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120" w:after="60"/>
      <w:outlineLvl w:val="4"/>
    </w:pPr>
    <w:rPr>
      <w:rFonts w:hAnsi="SimHei" w:eastAsia="SimHei" w:cs="SimHei" w:asciiTheme="majorHAnsi"/>
      <w:b/>
      <w:color w:val="000000"/>
      <w:sz w:val="22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120" w:after="60"/>
      <w:outlineLvl w:val="5"/>
    </w:pPr>
    <w:rPr>
      <w:rFonts w:hAnsi="SimHei" w:eastAsia="SimHei" w:cs="SimHei" w:asciiTheme="majorHAnsi"/>
      <w:b/>
      <w:i/>
      <w:iCs/>
      <w:color w:val="000000"/>
      <w:sz w:val="2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240" w:after="120" w:line="240" w:lineRule="auto"/>
      <w:contextualSpacing/>
      <w:jc w:val="center"/>
    </w:pPr>
    <w:rPr>
      <w:rFonts w:hAnsi="SimHei" w:eastAsia="SimHei" w:cs="SimHei" w:asciiTheme="majorHAnsi"/>
      <w:b/>
      <w:color w:val="000000"/>
      <w:spacing w:val="5"/>
      <w:kern w:val="28"/>
      <w:sz w:val="5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Office_12.9.0.26278_F1E327BC-269C-435d-A152-05C5408002CA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王喆</cp:lastModifiedBy>
  <dcterms:modified xsi:type="dcterms:W3CDTF">2026-05-01T12:24:38Z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 "1", "ContentProducer": "001191320114777023172010000", "ProduceID": "voiceassistant-79711fd3490078db", "ReservedCode1": "", "ContentPropagator": "001191320114777023172010000", "PropagateID": "voiceassistant-79711fd3490078db"}</vt:lpwstr>
  </property>
  <property fmtid="{D5CDD505-2E9C-101B-9397-08002B2CF9AE}" pid="3" name="KSOProductBuildVer">
    <vt:lpwstr>2052-12.9.0.26278</vt:lpwstr>
  </property>
  <property fmtid="{D5CDD505-2E9C-101B-9397-08002B2CF9AE}" pid="4" name="ICV">
    <vt:lpwstr>FDC4156F25CC669C062BF469D6BAC16D_42</vt:lpwstr>
  </property>
</Properties>
</file>