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AD69D7"/>
    <w:p w14:paraId="09BFAB42"/>
    <w:p w14:paraId="2F45F17D"/>
    <w:p w14:paraId="78B3C3AC"/>
    <w:p w14:paraId="602A97C7"/>
    <w:p w14:paraId="75BAB097"/>
    <w:p w14:paraId="2D027AE9">
      <w:pPr>
        <w:jc w:val="center"/>
      </w:pPr>
      <w:r>
        <w:rPr>
          <w:rFonts w:ascii="黑体" w:hAnsi="黑体" w:eastAsia="黑体"/>
          <w:b/>
          <w:sz w:val="52"/>
        </w:rPr>
        <w:t>总体架构设计文档</w:t>
      </w:r>
    </w:p>
    <w:p w14:paraId="3A150284">
      <w:pPr>
        <w:jc w:val="center"/>
      </w:pPr>
      <w:r>
        <w:rPr>
          <w:rFonts w:ascii="宋体" w:hAnsi="宋体" w:eastAsia="宋体"/>
          <w:sz w:val="32"/>
        </w:rPr>
        <w:t>华电新能源测点编码管理平台</w:t>
      </w:r>
    </w:p>
    <w:p w14:paraId="47D2CBD5"/>
    <w:p w14:paraId="090042FD"/>
    <w:p w14:paraId="79D5DBAF"/>
    <w:p w14:paraId="7A3DD4BA"/>
    <w:p w14:paraId="1D3902E9"/>
    <w:p w14:paraId="4B7B11D7"/>
    <w:p w14:paraId="5751CE43">
      <w:pPr>
        <w:jc w:val="center"/>
      </w:pPr>
      <w:r>
        <w:rPr>
          <w:rFonts w:ascii="宋体" w:hAnsi="宋体" w:eastAsia="宋体"/>
          <w:sz w:val="28"/>
        </w:rPr>
        <w:t>版  本：V1.0</w:t>
      </w:r>
    </w:p>
    <w:p w14:paraId="335B7CE4">
      <w:pPr>
        <w:jc w:val="center"/>
      </w:pPr>
      <w:r>
        <w:rPr>
          <w:rFonts w:ascii="宋体" w:hAnsi="宋体" w:eastAsia="宋体"/>
          <w:sz w:val="28"/>
        </w:rPr>
        <w:t>日  期：2026-05-30</w:t>
      </w:r>
    </w:p>
    <w:p w14:paraId="445BC167">
      <w:r>
        <w:br w:type="page"/>
      </w:r>
    </w:p>
    <w:p w14:paraId="586EBE9B">
      <w:pPr>
        <w:pStyle w:val="3"/>
      </w:pPr>
      <w:bookmarkStart w:id="0" w:name="_Toc825691577"/>
      <w:r>
        <w:rPr>
          <w:rFonts w:ascii="黑体" w:hAnsi="黑体" w:eastAsia="黑体"/>
          <w:color w:val="000000"/>
          <w:sz w:val="32"/>
        </w:rPr>
        <w:t>目录</w:t>
      </w:r>
      <w:bookmarkEnd w:id="0"/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925124932"/>
        <w15:color w:val="DBDBDB"/>
        <w:docPartObj>
          <w:docPartGallery w:val="Table of Contents"/>
          <w:docPartUnique/>
        </w:docPartObj>
      </w:sdtPr>
      <w:sdtContent>
        <w:p w14:paraId="24EB942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A986C4E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_Toc825691577 </w:instrText>
          </w:r>
          <w:r>
            <w:fldChar w:fldCharType="separate"/>
          </w:r>
          <w:r>
            <w:rPr>
              <w:rFonts w:ascii="黑体" w:hAnsi="黑体" w:eastAsia="黑体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_Toc825691577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66A22F7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_Toc359007725 </w:instrText>
          </w:r>
          <w:r>
            <w:fldChar w:fldCharType="separate"/>
          </w:r>
          <w:r>
            <w:rPr>
              <w:rFonts w:ascii="黑体" w:hAnsi="黑体" w:eastAsia="黑体"/>
            </w:rPr>
            <w:t>1. 架构概述</w:t>
          </w:r>
          <w:r>
            <w:tab/>
          </w:r>
          <w:r>
            <w:fldChar w:fldCharType="begin"/>
          </w:r>
          <w:r>
            <w:instrText xml:space="preserve"> PAGEREF _Toc359007725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B640C4E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_Toc1561269652 </w:instrText>
          </w:r>
          <w:r>
            <w:fldChar w:fldCharType="separate"/>
          </w:r>
          <w:r>
            <w:rPr>
              <w:rFonts w:ascii="黑体" w:hAnsi="黑体" w:eastAsia="黑体"/>
            </w:rPr>
            <w:t>1.1 架构设计目标</w:t>
          </w:r>
          <w:r>
            <w:tab/>
          </w:r>
          <w:r>
            <w:fldChar w:fldCharType="begin"/>
          </w:r>
          <w:r>
            <w:instrText xml:space="preserve"> PAGEREF _Toc1561269652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950AFB1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_Toc156358471 </w:instrText>
          </w:r>
          <w:r>
            <w:fldChar w:fldCharType="separate"/>
          </w:r>
          <w:r>
            <w:rPr>
              <w:rFonts w:ascii="黑体" w:hAnsi="黑体" w:eastAsia="黑体"/>
            </w:rPr>
            <w:t>1.2 架构风格</w:t>
          </w:r>
          <w:r>
            <w:tab/>
          </w:r>
          <w:r>
            <w:fldChar w:fldCharType="begin"/>
          </w:r>
          <w:r>
            <w:instrText xml:space="preserve"> PAGEREF _Toc156358471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326C821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_Toc1544321816 </w:instrText>
          </w:r>
          <w:r>
            <w:fldChar w:fldCharType="separate"/>
          </w:r>
          <w:r>
            <w:rPr>
              <w:rFonts w:ascii="黑体" w:hAnsi="黑体" w:eastAsia="黑体"/>
            </w:rPr>
            <w:t>1.3 整体架构描述</w:t>
          </w:r>
          <w:r>
            <w:tab/>
          </w:r>
          <w:r>
            <w:fldChar w:fldCharType="begin"/>
          </w:r>
          <w:r>
            <w:instrText xml:space="preserve"> PAGEREF _Toc1544321816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86B9EFD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_Toc929403870 </w:instrText>
          </w:r>
          <w:r>
            <w:fldChar w:fldCharType="separate"/>
          </w:r>
          <w:r>
            <w:rPr>
              <w:rFonts w:ascii="黑体" w:hAnsi="黑体" w:eastAsia="黑体"/>
            </w:rPr>
            <w:t>2. 技术架构</w:t>
          </w:r>
          <w:r>
            <w:tab/>
          </w:r>
          <w:r>
            <w:fldChar w:fldCharType="begin"/>
          </w:r>
          <w:r>
            <w:instrText xml:space="preserve"> PAGEREF _Toc929403870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3C8B70E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_Toc1842278459 </w:instrText>
          </w:r>
          <w:r>
            <w:fldChar w:fldCharType="separate"/>
          </w:r>
          <w:r>
            <w:rPr>
              <w:rFonts w:ascii="黑体" w:hAnsi="黑体" w:eastAsia="黑体"/>
            </w:rPr>
            <w:t>2.1 技术栈总览</w:t>
          </w:r>
          <w:r>
            <w:tab/>
          </w:r>
          <w:r>
            <w:fldChar w:fldCharType="begin"/>
          </w:r>
          <w:r>
            <w:instrText xml:space="preserve"> PAGEREF _Toc1842278459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BF27D8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_Toc754837967 </w:instrText>
          </w:r>
          <w:r>
            <w:fldChar w:fldCharType="separate"/>
          </w:r>
          <w:r>
            <w:rPr>
              <w:rFonts w:ascii="黑体" w:hAnsi="黑体" w:eastAsia="黑体"/>
            </w:rPr>
            <w:t>2.2 后端技术栈</w:t>
          </w:r>
          <w:r>
            <w:tab/>
          </w:r>
          <w:r>
            <w:fldChar w:fldCharType="begin"/>
          </w:r>
          <w:r>
            <w:instrText xml:space="preserve"> PAGEREF _Toc754837967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547C2C6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_Toc1375808540 </w:instrText>
          </w:r>
          <w:r>
            <w:fldChar w:fldCharType="separate"/>
          </w:r>
          <w:r>
            <w:rPr>
              <w:rFonts w:ascii="黑体" w:hAnsi="黑体" w:eastAsia="黑体"/>
            </w:rPr>
            <w:t>2.2.1 核心框架</w:t>
          </w:r>
          <w:r>
            <w:tab/>
          </w:r>
          <w:r>
            <w:fldChar w:fldCharType="begin"/>
          </w:r>
          <w:r>
            <w:instrText xml:space="preserve"> PAGEREF _Toc1375808540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CBD674C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_Toc1257704531 </w:instrText>
          </w:r>
          <w:r>
            <w:fldChar w:fldCharType="separate"/>
          </w:r>
          <w:r>
            <w:rPr>
              <w:rFonts w:ascii="黑体" w:hAnsi="黑体" w:eastAsia="黑体"/>
            </w:rPr>
            <w:t>2.2.2 三层架构</w:t>
          </w:r>
          <w:r>
            <w:tab/>
          </w:r>
          <w:r>
            <w:fldChar w:fldCharType="begin"/>
          </w:r>
          <w:r>
            <w:instrText xml:space="preserve"> PAGEREF _Toc1257704531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796B70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_Toc558515096 </w:instrText>
          </w:r>
          <w:r>
            <w:fldChar w:fldCharType="separate"/>
          </w:r>
          <w:r>
            <w:rPr>
              <w:rFonts w:ascii="黑体" w:hAnsi="黑体" w:eastAsia="黑体"/>
            </w:rPr>
            <w:t>2.2.3 数据库访问</w:t>
          </w:r>
          <w:r>
            <w:tab/>
          </w:r>
          <w:r>
            <w:fldChar w:fldCharType="begin"/>
          </w:r>
          <w:r>
            <w:instrText xml:space="preserve"> PAGEREF _Toc558515096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6A02212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_Toc312197435 </w:instrText>
          </w:r>
          <w:r>
            <w:fldChar w:fldCharType="separate"/>
          </w:r>
          <w:r>
            <w:rPr>
              <w:rFonts w:ascii="黑体" w:hAnsi="黑体" w:eastAsia="黑体"/>
            </w:rPr>
            <w:t>2.2.4 租户上下文传递</w:t>
          </w:r>
          <w:r>
            <w:tab/>
          </w:r>
          <w:r>
            <w:fldChar w:fldCharType="begin"/>
          </w:r>
          <w:r>
            <w:instrText xml:space="preserve"> PAGEREF _Toc312197435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5C7C022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_Toc799740424 </w:instrText>
          </w:r>
          <w:r>
            <w:fldChar w:fldCharType="separate"/>
          </w:r>
          <w:r>
            <w:rPr>
              <w:rFonts w:ascii="黑体" w:hAnsi="黑体" w:eastAsia="黑体"/>
            </w:rPr>
            <w:t>2.2.5 身份认证</w:t>
          </w:r>
          <w:r>
            <w:tab/>
          </w:r>
          <w:r>
            <w:fldChar w:fldCharType="begin"/>
          </w:r>
          <w:r>
            <w:instrText xml:space="preserve"> PAGEREF _Toc799740424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5452CE0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_Toc137159595 </w:instrText>
          </w:r>
          <w:r>
            <w:fldChar w:fldCharType="separate"/>
          </w:r>
          <w:r>
            <w:rPr>
              <w:rFonts w:ascii="黑体" w:hAnsi="黑体" w:eastAsia="黑体"/>
            </w:rPr>
            <w:t>2.3 前端技术栈</w:t>
          </w:r>
          <w:r>
            <w:tab/>
          </w:r>
          <w:r>
            <w:fldChar w:fldCharType="begin"/>
          </w:r>
          <w:r>
            <w:instrText xml:space="preserve"> PAGEREF _Toc137159595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901FB41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_Toc991359934 </w:instrText>
          </w:r>
          <w:r>
            <w:fldChar w:fldCharType="separate"/>
          </w:r>
          <w:r>
            <w:rPr>
              <w:rFonts w:ascii="黑体" w:hAnsi="黑体" w:eastAsia="黑体"/>
            </w:rPr>
            <w:t>2.3.1 核心框架</w:t>
          </w:r>
          <w:r>
            <w:tab/>
          </w:r>
          <w:r>
            <w:fldChar w:fldCharType="begin"/>
          </w:r>
          <w:r>
            <w:instrText xml:space="preserve"> PAGEREF _Toc991359934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8FFF373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_Toc1608277312 </w:instrText>
          </w:r>
          <w:r>
            <w:fldChar w:fldCharType="separate"/>
          </w:r>
          <w:r>
            <w:rPr>
              <w:rFonts w:ascii="黑体" w:hAnsi="黑体" w:eastAsia="黑体"/>
            </w:rPr>
            <w:t>2.3.2 数据可视化</w:t>
          </w:r>
          <w:r>
            <w:tab/>
          </w:r>
          <w:r>
            <w:fldChar w:fldCharType="begin"/>
          </w:r>
          <w:r>
            <w:instrText xml:space="preserve"> PAGEREF _Toc1608277312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E2EA5EC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_Toc2087601642 </w:instrText>
          </w:r>
          <w:r>
            <w:fldChar w:fldCharType="separate"/>
          </w:r>
          <w:r>
            <w:rPr>
              <w:rFonts w:ascii="黑体" w:hAnsi="黑体" w:eastAsia="黑体"/>
            </w:rPr>
            <w:t>2.3.3 状态管理与路由</w:t>
          </w:r>
          <w:r>
            <w:tab/>
          </w:r>
          <w:r>
            <w:fldChar w:fldCharType="begin"/>
          </w:r>
          <w:r>
            <w:instrText xml:space="preserve"> PAGEREF _Toc2087601642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DF2977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_Toc732972408 </w:instrText>
          </w:r>
          <w:r>
            <w:fldChar w:fldCharType="separate"/>
          </w:r>
          <w:r>
            <w:rPr>
              <w:rFonts w:ascii="黑体" w:hAnsi="黑体" w:eastAsia="黑体"/>
            </w:rPr>
            <w:t>2.3.4 构建工具与HTTP客户端</w:t>
          </w:r>
          <w:r>
            <w:tab/>
          </w:r>
          <w:r>
            <w:fldChar w:fldCharType="begin"/>
          </w:r>
          <w:r>
            <w:instrText xml:space="preserve"> PAGEREF _Toc732972408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3B7199F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_Toc1101062064 </w:instrText>
          </w:r>
          <w:r>
            <w:fldChar w:fldCharType="separate"/>
          </w:r>
          <w:r>
            <w:rPr>
              <w:rFonts w:ascii="黑体" w:hAnsi="黑体" w:eastAsia="黑体"/>
            </w:rPr>
            <w:t>2.4 工程体系</w:t>
          </w:r>
          <w:r>
            <w:tab/>
          </w:r>
          <w:r>
            <w:fldChar w:fldCharType="begin"/>
          </w:r>
          <w:r>
            <w:instrText xml:space="preserve"> PAGEREF _Toc1101062064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81B925D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_Toc683523449 </w:instrText>
          </w:r>
          <w:r>
            <w:fldChar w:fldCharType="separate"/>
          </w:r>
          <w:r>
            <w:rPr>
              <w:rFonts w:ascii="黑体" w:hAnsi="黑体" w:eastAsia="黑体"/>
            </w:rPr>
            <w:t>2.5 选型理由</w:t>
          </w:r>
          <w:r>
            <w:tab/>
          </w:r>
          <w:r>
            <w:fldChar w:fldCharType="begin"/>
          </w:r>
          <w:r>
            <w:instrText xml:space="preserve"> PAGEREF _Toc683523449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A5D9F00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_Toc1088579540 </w:instrText>
          </w:r>
          <w:r>
            <w:fldChar w:fldCharType="separate"/>
          </w:r>
          <w:r>
            <w:rPr>
              <w:rFonts w:ascii="黑体" w:hAnsi="黑体" w:eastAsia="黑体"/>
            </w:rPr>
            <w:t>3. 系统模块划分</w:t>
          </w:r>
          <w:r>
            <w:tab/>
          </w:r>
          <w:r>
            <w:fldChar w:fldCharType="begin"/>
          </w:r>
          <w:r>
            <w:instrText xml:space="preserve"> PAGEREF _Toc1088579540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A4C6DC5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_Toc1343139987 </w:instrText>
          </w:r>
          <w:r>
            <w:fldChar w:fldCharType="separate"/>
          </w:r>
          <w:r>
            <w:rPr>
              <w:rFonts w:ascii="黑体" w:hAnsi="黑体" w:eastAsia="黑体"/>
            </w:rPr>
            <w:t>3.1 模块总览</w:t>
          </w:r>
          <w:r>
            <w:tab/>
          </w:r>
          <w:r>
            <w:fldChar w:fldCharType="begin"/>
          </w:r>
          <w:r>
            <w:instrText xml:space="preserve"> PAGEREF _Toc1343139987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059C906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_Toc1953147892 </w:instrText>
          </w:r>
          <w:r>
            <w:fldChar w:fldCharType="separate"/>
          </w:r>
          <w:r>
            <w:rPr>
              <w:rFonts w:ascii="黑体" w:hAnsi="黑体" w:eastAsia="黑体"/>
            </w:rPr>
            <w:t>3.2 模块职责说明</w:t>
          </w:r>
          <w:r>
            <w:tab/>
          </w:r>
          <w:r>
            <w:fldChar w:fldCharType="begin"/>
          </w:r>
          <w:r>
            <w:instrText xml:space="preserve"> PAGEREF _Toc1953147892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7FAFD3E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_Toc121592802 </w:instrText>
          </w:r>
          <w:r>
            <w:fldChar w:fldCharType="separate"/>
          </w:r>
          <w:r>
            <w:rPr>
              <w:rFonts w:ascii="黑体" w:hAnsi="黑体" w:eastAsia="黑体"/>
            </w:rPr>
            <w:t>3.2.1 auth模块</w:t>
          </w:r>
          <w:r>
            <w:tab/>
          </w:r>
          <w:r>
            <w:fldChar w:fldCharType="begin"/>
          </w:r>
          <w:r>
            <w:instrText xml:space="preserve"> PAGEREF _Toc121592802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BC8AE1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_Toc1353274917 </w:instrText>
          </w:r>
          <w:r>
            <w:fldChar w:fldCharType="separate"/>
          </w:r>
          <w:r>
            <w:rPr>
              <w:rFonts w:ascii="黑体" w:hAnsi="黑体" w:eastAsia="黑体"/>
            </w:rPr>
            <w:t>3.2.2 code-generation模块</w:t>
          </w:r>
          <w:r>
            <w:tab/>
          </w:r>
          <w:r>
            <w:fldChar w:fldCharType="begin"/>
          </w:r>
          <w:r>
            <w:instrText xml:space="preserve"> PAGEREF _Toc1353274917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24CE003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_Toc492224642 </w:instrText>
          </w:r>
          <w:r>
            <w:fldChar w:fldCharType="separate"/>
          </w:r>
          <w:r>
            <w:rPr>
              <w:rFonts w:ascii="黑体" w:hAnsi="黑体" w:eastAsia="黑体"/>
            </w:rPr>
            <w:t>3.2.3 auto-code模块</w:t>
          </w:r>
          <w:r>
            <w:tab/>
          </w:r>
          <w:r>
            <w:fldChar w:fldCharType="begin"/>
          </w:r>
          <w:r>
            <w:instrText xml:space="preserve"> PAGEREF _Toc492224642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DB3DD60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_Toc712549850 </w:instrText>
          </w:r>
          <w:r>
            <w:fldChar w:fldCharType="separate"/>
          </w:r>
          <w:r>
            <w:rPr>
              <w:rFonts w:ascii="黑体" w:hAnsi="黑体" w:eastAsia="黑体"/>
            </w:rPr>
            <w:t>3.2.4 code-validation模块</w:t>
          </w:r>
          <w:r>
            <w:tab/>
          </w:r>
          <w:r>
            <w:fldChar w:fldCharType="begin"/>
          </w:r>
          <w:r>
            <w:instrText xml:space="preserve"> PAGEREF _Toc712549850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A30965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_Toc1456513278 </w:instrText>
          </w:r>
          <w:r>
            <w:fldChar w:fldCharType="separate"/>
          </w:r>
          <w:r>
            <w:rPr>
              <w:rFonts w:ascii="黑体" w:hAnsi="黑体" w:eastAsia="黑体"/>
            </w:rPr>
            <w:t>3.2.5 dict模块</w:t>
          </w:r>
          <w:r>
            <w:tab/>
          </w:r>
          <w:r>
            <w:fldChar w:fldCharType="begin"/>
          </w:r>
          <w:r>
            <w:instrText xml:space="preserve"> PAGEREF _Toc1456513278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AB5025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_Toc452571193 </w:instrText>
          </w:r>
          <w:r>
            <w:fldChar w:fldCharType="separate"/>
          </w:r>
          <w:r>
            <w:rPr>
              <w:rFonts w:ascii="黑体" w:hAnsi="黑体" w:eastAsia="黑体"/>
            </w:rPr>
            <w:t>3.2.6 approval模块</w:t>
          </w:r>
          <w:r>
            <w:tab/>
          </w:r>
          <w:r>
            <w:fldChar w:fldCharType="begin"/>
          </w:r>
          <w:r>
            <w:instrText xml:space="preserve"> PAGEREF _Toc452571193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877B991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_Toc2124446724 </w:instrText>
          </w:r>
          <w:r>
            <w:fldChar w:fldCharType="separate"/>
          </w:r>
          <w:r>
            <w:rPr>
              <w:rFonts w:ascii="黑体" w:hAnsi="黑体" w:eastAsia="黑体"/>
            </w:rPr>
            <w:t>3.2.7 station模块</w:t>
          </w:r>
          <w:r>
            <w:tab/>
          </w:r>
          <w:r>
            <w:fldChar w:fldCharType="begin"/>
          </w:r>
          <w:r>
            <w:instrText xml:space="preserve"> PAGEREF _Toc2124446724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7483026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_Toc1512975246 </w:instrText>
          </w:r>
          <w:r>
            <w:fldChar w:fldCharType="separate"/>
          </w:r>
          <w:r>
            <w:rPr>
              <w:rFonts w:ascii="黑体" w:hAnsi="黑体" w:eastAsia="黑体"/>
            </w:rPr>
            <w:t>3.2.8 statistics模块</w:t>
          </w:r>
          <w:r>
            <w:tab/>
          </w:r>
          <w:r>
            <w:fldChar w:fldCharType="begin"/>
          </w:r>
          <w:r>
            <w:instrText xml:space="preserve"> PAGEREF _Toc1512975246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81FD09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_Toc221095395 </w:instrText>
          </w:r>
          <w:r>
            <w:fldChar w:fldCharType="separate"/>
          </w:r>
          <w:r>
            <w:rPr>
              <w:rFonts w:ascii="黑体" w:hAnsi="黑体" w:eastAsia="黑体"/>
            </w:rPr>
            <w:t>3.2.9 tsr模块</w:t>
          </w:r>
          <w:r>
            <w:tab/>
          </w:r>
          <w:r>
            <w:fldChar w:fldCharType="begin"/>
          </w:r>
          <w:r>
            <w:instrText xml:space="preserve"> PAGEREF _Toc221095395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385AA1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_Toc803594455 </w:instrText>
          </w:r>
          <w:r>
            <w:fldChar w:fldCharType="separate"/>
          </w:r>
          <w:r>
            <w:rPr>
              <w:rFonts w:ascii="黑体" w:hAnsi="黑体" w:eastAsia="黑体"/>
            </w:rPr>
            <w:t>3.2.10 datasource模块</w:t>
          </w:r>
          <w:r>
            <w:tab/>
          </w:r>
          <w:r>
            <w:fldChar w:fldCharType="begin"/>
          </w:r>
          <w:r>
            <w:instrText xml:space="preserve"> PAGEREF _Toc803594455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35FDD0A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_Toc487349202 </w:instrText>
          </w:r>
          <w:r>
            <w:fldChar w:fldCharType="separate"/>
          </w:r>
          <w:r>
            <w:rPr>
              <w:rFonts w:ascii="黑体" w:hAnsi="黑体" w:eastAsia="黑体"/>
            </w:rPr>
            <w:t>3.3 模块交互关系</w:t>
          </w:r>
          <w:r>
            <w:tab/>
          </w:r>
          <w:r>
            <w:fldChar w:fldCharType="begin"/>
          </w:r>
          <w:r>
            <w:instrText xml:space="preserve"> PAGEREF _Toc487349202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52AE3DC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_Toc375408356 </w:instrText>
          </w:r>
          <w:r>
            <w:fldChar w:fldCharType="separate"/>
          </w:r>
          <w:r>
            <w:rPr>
              <w:rFonts w:ascii="黑体" w:hAnsi="黑体" w:eastAsia="黑体"/>
            </w:rPr>
            <w:t>4. 后端架构设计</w:t>
          </w:r>
          <w:r>
            <w:tab/>
          </w:r>
          <w:r>
            <w:fldChar w:fldCharType="begin"/>
          </w:r>
          <w:r>
            <w:instrText xml:space="preserve"> PAGEREF _Toc375408356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673562E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_Toc181284406 </w:instrText>
          </w:r>
          <w:r>
            <w:fldChar w:fldCharType="separate"/>
          </w:r>
          <w:r>
            <w:rPr>
              <w:rFonts w:ascii="黑体" w:hAnsi="黑体" w:eastAsia="黑体"/>
            </w:rPr>
            <w:t>4.1 三层架构详解</w:t>
          </w:r>
          <w:r>
            <w:tab/>
          </w:r>
          <w:r>
            <w:fldChar w:fldCharType="begin"/>
          </w:r>
          <w:r>
            <w:instrText xml:space="preserve"> PAGEREF _Toc181284406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22E82B3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_Toc1715200196 </w:instrText>
          </w:r>
          <w:r>
            <w:fldChar w:fldCharType="separate"/>
          </w:r>
          <w:r>
            <w:rPr>
              <w:rFonts w:ascii="黑体" w:hAnsi="黑体" w:eastAsia="黑体"/>
            </w:rPr>
            <w:t>4.1.1 Controller层</w:t>
          </w:r>
          <w:r>
            <w:tab/>
          </w:r>
          <w:r>
            <w:fldChar w:fldCharType="begin"/>
          </w:r>
          <w:r>
            <w:instrText xml:space="preserve"> PAGEREF _Toc1715200196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92C5A56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_Toc1696700491 </w:instrText>
          </w:r>
          <w:r>
            <w:fldChar w:fldCharType="separate"/>
          </w:r>
          <w:r>
            <w:rPr>
              <w:rFonts w:ascii="黑体" w:hAnsi="黑体" w:eastAsia="黑体"/>
            </w:rPr>
            <w:t>4.1.2 Service层</w:t>
          </w:r>
          <w:r>
            <w:tab/>
          </w:r>
          <w:r>
            <w:fldChar w:fldCharType="begin"/>
          </w:r>
          <w:r>
            <w:instrText xml:space="preserve"> PAGEREF _Toc1696700491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EF64AF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_Toc9803724 </w:instrText>
          </w:r>
          <w:r>
            <w:fldChar w:fldCharType="separate"/>
          </w:r>
          <w:r>
            <w:rPr>
              <w:rFonts w:ascii="黑体" w:hAnsi="黑体" w:eastAsia="黑体"/>
            </w:rPr>
            <w:t>4.1.3 Domain层</w:t>
          </w:r>
          <w:r>
            <w:tab/>
          </w:r>
          <w:r>
            <w:fldChar w:fldCharType="begin"/>
          </w:r>
          <w:r>
            <w:instrText xml:space="preserve"> PAGEREF _Toc9803724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2C1EF6D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_Toc1562432096 </w:instrText>
          </w:r>
          <w:r>
            <w:fldChar w:fldCharType="separate"/>
          </w:r>
          <w:r>
            <w:rPr>
              <w:rFonts w:ascii="黑体" w:hAnsi="黑体" w:eastAsia="黑体"/>
            </w:rPr>
            <w:t>4.2 中间件链</w:t>
          </w:r>
          <w:r>
            <w:tab/>
          </w:r>
          <w:r>
            <w:fldChar w:fldCharType="begin"/>
          </w:r>
          <w:r>
            <w:instrText xml:space="preserve"> PAGEREF _Toc1562432096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1556354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_Toc366201956 </w:instrText>
          </w:r>
          <w:r>
            <w:fldChar w:fldCharType="separate"/>
          </w:r>
          <w:r>
            <w:rPr>
              <w:rFonts w:ascii="黑体" w:hAnsi="黑体" w:eastAsia="黑体"/>
            </w:rPr>
            <w:t>4.3 统一响应格式</w:t>
          </w:r>
          <w:r>
            <w:tab/>
          </w:r>
          <w:r>
            <w:fldChar w:fldCharType="begin"/>
          </w:r>
          <w:r>
            <w:instrText xml:space="preserve"> PAGEREF _Toc366201956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070397E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_Toc68142190 </w:instrText>
          </w:r>
          <w:r>
            <w:fldChar w:fldCharType="separate"/>
          </w:r>
          <w:r>
            <w:rPr>
              <w:rFonts w:ascii="黑体" w:hAnsi="黑体" w:eastAsia="黑体"/>
            </w:rPr>
            <w:t>4.3.1 成功响应</w:t>
          </w:r>
          <w:r>
            <w:tab/>
          </w:r>
          <w:r>
            <w:fldChar w:fldCharType="begin"/>
          </w:r>
          <w:r>
            <w:instrText xml:space="preserve"> PAGEREF _Toc68142190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B77691B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_Toc657003479 </w:instrText>
          </w:r>
          <w:r>
            <w:fldChar w:fldCharType="separate"/>
          </w:r>
          <w:r>
            <w:rPr>
              <w:rFonts w:ascii="黑体" w:hAnsi="黑体" w:eastAsia="黑体"/>
            </w:rPr>
            <w:t>4.3.2 错误响应</w:t>
          </w:r>
          <w:r>
            <w:tab/>
          </w:r>
          <w:r>
            <w:fldChar w:fldCharType="begin"/>
          </w:r>
          <w:r>
            <w:instrText xml:space="preserve"> PAGEREF _Toc657003479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78E2525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_Toc2044042326 </w:instrText>
          </w:r>
          <w:r>
            <w:fldChar w:fldCharType="separate"/>
          </w:r>
          <w:r>
            <w:rPr>
              <w:rFonts w:ascii="黑体" w:hAnsi="黑体" w:eastAsia="黑体"/>
            </w:rPr>
            <w:t>4.4 统一错误处理</w:t>
          </w:r>
          <w:r>
            <w:tab/>
          </w:r>
          <w:r>
            <w:fldChar w:fldCharType="begin"/>
          </w:r>
          <w:r>
            <w:instrText xml:space="preserve"> PAGEREF _Toc2044042326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FBD6238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_Toc923472023 </w:instrText>
          </w:r>
          <w:r>
            <w:fldChar w:fldCharType="separate"/>
          </w:r>
          <w:r>
            <w:rPr>
              <w:rFonts w:ascii="黑体" w:hAnsi="黑体" w:eastAsia="黑体"/>
            </w:rPr>
            <w:t>4.4.1 AppError类</w:t>
          </w:r>
          <w:r>
            <w:tab/>
          </w:r>
          <w:r>
            <w:fldChar w:fldCharType="begin"/>
          </w:r>
          <w:r>
            <w:instrText xml:space="preserve"> PAGEREF _Toc923472023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3ED0E82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_Toc929973692 </w:instrText>
          </w:r>
          <w:r>
            <w:fldChar w:fldCharType="separate"/>
          </w:r>
          <w:r>
            <w:rPr>
              <w:rFonts w:ascii="黑体" w:hAnsi="黑体" w:eastAsia="黑体"/>
            </w:rPr>
            <w:t>4.4.2 全局错误处理中间件</w:t>
          </w:r>
          <w:r>
            <w:tab/>
          </w:r>
          <w:r>
            <w:fldChar w:fldCharType="begin"/>
          </w:r>
          <w:r>
            <w:instrText xml:space="preserve"> PAGEREF _Toc929973692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87326F1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_Toc681858578 </w:instrText>
          </w:r>
          <w:r>
            <w:fldChar w:fldCharType="separate"/>
          </w:r>
          <w:r>
            <w:rPr>
              <w:rFonts w:ascii="黑体" w:hAnsi="黑体" w:eastAsia="黑体"/>
            </w:rPr>
            <w:t>4.5 多租户架构</w:t>
          </w:r>
          <w:r>
            <w:tab/>
          </w:r>
          <w:r>
            <w:fldChar w:fldCharType="begin"/>
          </w:r>
          <w:r>
            <w:instrText xml:space="preserve"> PAGEREF _Toc681858578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D1CEEEB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_Toc1024380054 </w:instrText>
          </w:r>
          <w:r>
            <w:fldChar w:fldCharType="separate"/>
          </w:r>
          <w:r>
            <w:rPr>
              <w:rFonts w:ascii="黑体" w:hAnsi="黑体" w:eastAsia="黑体"/>
            </w:rPr>
            <w:t>4.5.1 租户配置</w:t>
          </w:r>
          <w:r>
            <w:tab/>
          </w:r>
          <w:r>
            <w:fldChar w:fldCharType="begin"/>
          </w:r>
          <w:r>
            <w:instrText xml:space="preserve"> PAGEREF _Toc1024380054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FA45582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_Toc379169579 </w:instrText>
          </w:r>
          <w:r>
            <w:fldChar w:fldCharType="separate"/>
          </w:r>
          <w:r>
            <w:rPr>
              <w:rFonts w:ascii="黑体" w:hAnsi="黑体" w:eastAsia="黑体"/>
            </w:rPr>
            <w:t>4.5.2 Schema级数据隔离</w:t>
          </w:r>
          <w:r>
            <w:tab/>
          </w:r>
          <w:r>
            <w:fldChar w:fldCharType="begin"/>
          </w:r>
          <w:r>
            <w:instrText xml:space="preserve"> PAGEREF _Toc379169579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734AE8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_Toc1119133604 </w:instrText>
          </w:r>
          <w:r>
            <w:fldChar w:fldCharType="separate"/>
          </w:r>
          <w:r>
            <w:rPr>
              <w:rFonts w:ascii="黑体" w:hAnsi="黑体" w:eastAsia="黑体"/>
            </w:rPr>
            <w:t>4.5.3 租户上下文传递机制</w:t>
          </w:r>
          <w:r>
            <w:tab/>
          </w:r>
          <w:r>
            <w:fldChar w:fldCharType="begin"/>
          </w:r>
          <w:r>
            <w:instrText xml:space="preserve"> PAGEREF _Toc1119133604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1206362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_Toc1616702002 </w:instrText>
          </w:r>
          <w:r>
            <w:fldChar w:fldCharType="separate"/>
          </w:r>
          <w:r>
            <w:rPr>
              <w:rFonts w:ascii="黑体" w:hAnsi="黑体" w:eastAsia="黑体"/>
            </w:rPr>
            <w:t>5. 前端架构设计</w:t>
          </w:r>
          <w:r>
            <w:tab/>
          </w:r>
          <w:r>
            <w:fldChar w:fldCharType="begin"/>
          </w:r>
          <w:r>
            <w:instrText xml:space="preserve"> PAGEREF _Toc1616702002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31186CB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_Toc1947445770 </w:instrText>
          </w:r>
          <w:r>
            <w:fldChar w:fldCharType="separate"/>
          </w:r>
          <w:r>
            <w:rPr>
              <w:rFonts w:ascii="黑体" w:hAnsi="黑体" w:eastAsia="黑体"/>
            </w:rPr>
            <w:t>5.1 前端架构层次</w:t>
          </w:r>
          <w:r>
            <w:tab/>
          </w:r>
          <w:r>
            <w:fldChar w:fldCharType="begin"/>
          </w:r>
          <w:r>
            <w:instrText xml:space="preserve"> PAGEREF _Toc1947445770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71AF934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_Toc922792463 </w:instrText>
          </w:r>
          <w:r>
            <w:fldChar w:fldCharType="separate"/>
          </w:r>
          <w:r>
            <w:rPr>
              <w:rFonts w:ascii="黑体" w:hAnsi="黑体" w:eastAsia="黑体"/>
            </w:rPr>
            <w:t>5.2 路由设计</w:t>
          </w:r>
          <w:r>
            <w:tab/>
          </w:r>
          <w:r>
            <w:fldChar w:fldCharType="begin"/>
          </w:r>
          <w:r>
            <w:instrText xml:space="preserve"> PAGEREF _Toc922792463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18F46A2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_Toc246027007 </w:instrText>
          </w:r>
          <w:r>
            <w:fldChar w:fldCharType="separate"/>
          </w:r>
          <w:r>
            <w:rPr>
              <w:rFonts w:ascii="黑体" w:hAnsi="黑体" w:eastAsia="黑体"/>
            </w:rPr>
            <w:t>5.3 状态管理</w:t>
          </w:r>
          <w:r>
            <w:tab/>
          </w:r>
          <w:r>
            <w:fldChar w:fldCharType="begin"/>
          </w:r>
          <w:r>
            <w:instrText xml:space="preserve"> PAGEREF _Toc246027007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F19C180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_Toc1069886174 </w:instrText>
          </w:r>
          <w:r>
            <w:fldChar w:fldCharType="separate"/>
          </w:r>
          <w:r>
            <w:rPr>
              <w:rFonts w:ascii="黑体" w:hAnsi="黑体" w:eastAsia="黑体"/>
            </w:rPr>
            <w:t>5.4 路由守卫</w:t>
          </w:r>
          <w:r>
            <w:tab/>
          </w:r>
          <w:r>
            <w:fldChar w:fldCharType="begin"/>
          </w:r>
          <w:r>
            <w:instrText xml:space="preserve"> PAGEREF _Toc1069886174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AF2B705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_Toc696350087 </w:instrText>
          </w:r>
          <w:r>
            <w:fldChar w:fldCharType="separate"/>
          </w:r>
          <w:r>
            <w:rPr>
              <w:rFonts w:ascii="黑体" w:hAnsi="黑体" w:eastAsia="黑体"/>
            </w:rPr>
            <w:t>5.5 组件与页面设计</w:t>
          </w:r>
          <w:r>
            <w:tab/>
          </w:r>
          <w:r>
            <w:fldChar w:fldCharType="begin"/>
          </w:r>
          <w:r>
            <w:instrText xml:space="preserve"> PAGEREF _Toc696350087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3649F70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_Toc1917519706 </w:instrText>
          </w:r>
          <w:r>
            <w:fldChar w:fldCharType="separate"/>
          </w:r>
          <w:r>
            <w:rPr>
              <w:rFonts w:ascii="黑体" w:hAnsi="黑体" w:eastAsia="黑体"/>
            </w:rPr>
            <w:t>6. 数据架构</w:t>
          </w:r>
          <w:r>
            <w:tab/>
          </w:r>
          <w:r>
            <w:fldChar w:fldCharType="begin"/>
          </w:r>
          <w:r>
            <w:instrText xml:space="preserve"> PAGEREF _Toc1917519706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74952B7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_Toc466608213 </w:instrText>
          </w:r>
          <w:r>
            <w:fldChar w:fldCharType="separate"/>
          </w:r>
          <w:r>
            <w:rPr>
              <w:rFonts w:ascii="黑体" w:hAnsi="黑体" w:eastAsia="黑体"/>
            </w:rPr>
            <w:t>6.1 数据流</w:t>
          </w:r>
          <w:r>
            <w:tab/>
          </w:r>
          <w:r>
            <w:fldChar w:fldCharType="begin"/>
          </w:r>
          <w:r>
            <w:instrText xml:space="preserve"> PAGEREF _Toc466608213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82634ED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_Toc1821440694 </w:instrText>
          </w:r>
          <w:r>
            <w:fldChar w:fldCharType="separate"/>
          </w:r>
          <w:r>
            <w:rPr>
              <w:rFonts w:ascii="黑体" w:hAnsi="黑体" w:eastAsia="黑体"/>
            </w:rPr>
            <w:t>6.1.1 编码生成数据流</w:t>
          </w:r>
          <w:r>
            <w:tab/>
          </w:r>
          <w:r>
            <w:fldChar w:fldCharType="begin"/>
          </w:r>
          <w:r>
            <w:instrText xml:space="preserve"> PAGEREF _Toc1821440694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19D4F3A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_Toc574356073 </w:instrText>
          </w:r>
          <w:r>
            <w:fldChar w:fldCharType="separate"/>
          </w:r>
          <w:r>
            <w:rPr>
              <w:rFonts w:ascii="黑体" w:hAnsi="黑体" w:eastAsia="黑体"/>
            </w:rPr>
            <w:t>6.1.2 编码解析数据流</w:t>
          </w:r>
          <w:r>
            <w:tab/>
          </w:r>
          <w:r>
            <w:fldChar w:fldCharType="begin"/>
          </w:r>
          <w:r>
            <w:instrText xml:space="preserve"> PAGEREF _Toc574356073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B2AFD95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_Toc263525646 </w:instrText>
          </w:r>
          <w:r>
            <w:fldChar w:fldCharType="separate"/>
          </w:r>
          <w:r>
            <w:rPr>
              <w:rFonts w:ascii="黑体" w:hAnsi="黑体" w:eastAsia="黑体"/>
            </w:rPr>
            <w:t>6.1.3 自动编码数据流</w:t>
          </w:r>
          <w:r>
            <w:tab/>
          </w:r>
          <w:r>
            <w:fldChar w:fldCharType="begin"/>
          </w:r>
          <w:r>
            <w:instrText xml:space="preserve"> PAGEREF _Toc263525646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7F31BCC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_Toc964252208 </w:instrText>
          </w:r>
          <w:r>
            <w:fldChar w:fldCharType="separate"/>
          </w:r>
          <w:r>
            <w:rPr>
              <w:rFonts w:ascii="黑体" w:hAnsi="黑体" w:eastAsia="黑体"/>
            </w:rPr>
            <w:t>6.1.4 统计数据流</w:t>
          </w:r>
          <w:r>
            <w:tab/>
          </w:r>
          <w:r>
            <w:fldChar w:fldCharType="begin"/>
          </w:r>
          <w:r>
            <w:instrText xml:space="preserve"> PAGEREF _Toc964252208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8D11BD2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_Toc1275259594 </w:instrText>
          </w:r>
          <w:r>
            <w:fldChar w:fldCharType="separate"/>
          </w:r>
          <w:r>
            <w:rPr>
              <w:rFonts w:ascii="黑体" w:hAnsi="黑体" w:eastAsia="黑体"/>
            </w:rPr>
            <w:t>6.2 多租户数据隔离策略</w:t>
          </w:r>
          <w:r>
            <w:tab/>
          </w:r>
          <w:r>
            <w:fldChar w:fldCharType="begin"/>
          </w:r>
          <w:r>
            <w:instrText xml:space="preserve"> PAGEREF _Toc1275259594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C99BDB0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_Toc1401199298 </w:instrText>
          </w:r>
          <w:r>
            <w:fldChar w:fldCharType="separate"/>
          </w:r>
          <w:r>
            <w:rPr>
              <w:rFonts w:ascii="黑体" w:hAnsi="黑体" w:eastAsia="黑体"/>
            </w:rPr>
            <w:t>6.3 缓存策略</w:t>
          </w:r>
          <w:r>
            <w:tab/>
          </w:r>
          <w:r>
            <w:fldChar w:fldCharType="begin"/>
          </w:r>
          <w:r>
            <w:instrText xml:space="preserve"> PAGEREF _Toc1401199298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389DC88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_Toc650928484 </w:instrText>
          </w:r>
          <w:r>
            <w:fldChar w:fldCharType="separate"/>
          </w:r>
          <w:r>
            <w:rPr>
              <w:rFonts w:ascii="黑体" w:hAnsi="黑体" w:eastAsia="黑体"/>
            </w:rPr>
            <w:t>6.4 文件存储</w:t>
          </w:r>
          <w:r>
            <w:tab/>
          </w:r>
          <w:r>
            <w:fldChar w:fldCharType="begin"/>
          </w:r>
          <w:r>
            <w:instrText xml:space="preserve"> PAGEREF _Toc650928484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750489C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_Toc873332770 </w:instrText>
          </w:r>
          <w:r>
            <w:fldChar w:fldCharType="separate"/>
          </w:r>
          <w:r>
            <w:rPr>
              <w:rFonts w:ascii="黑体" w:hAnsi="黑体" w:eastAsia="黑体"/>
            </w:rPr>
            <w:t>7. 部署架构</w:t>
          </w:r>
          <w:r>
            <w:tab/>
          </w:r>
          <w:r>
            <w:fldChar w:fldCharType="begin"/>
          </w:r>
          <w:r>
            <w:instrText xml:space="preserve"> PAGEREF _Toc873332770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15C2FFC5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_Toc53138145 </w:instrText>
          </w:r>
          <w:r>
            <w:fldChar w:fldCharType="separate"/>
          </w:r>
          <w:r>
            <w:rPr>
              <w:rFonts w:ascii="黑体" w:hAnsi="黑体" w:eastAsia="黑体"/>
            </w:rPr>
            <w:t>7.1 部署拓扑</w:t>
          </w:r>
          <w:r>
            <w:tab/>
          </w:r>
          <w:r>
            <w:fldChar w:fldCharType="begin"/>
          </w:r>
          <w:r>
            <w:instrText xml:space="preserve"> PAGEREF _Toc53138145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2A9BDAD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_Toc1887089510 </w:instrText>
          </w:r>
          <w:r>
            <w:fldChar w:fldCharType="separate"/>
          </w:r>
          <w:r>
            <w:rPr>
              <w:rFonts w:ascii="黑体" w:hAnsi="黑体" w:eastAsia="黑体"/>
            </w:rPr>
            <w:t>7.2 多租户数据库配置</w:t>
          </w:r>
          <w:r>
            <w:tab/>
          </w:r>
          <w:r>
            <w:fldChar w:fldCharType="begin"/>
          </w:r>
          <w:r>
            <w:instrText xml:space="preserve"> PAGEREF _Toc1887089510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17BDAEE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_Toc127412027 </w:instrText>
          </w:r>
          <w:r>
            <w:fldChar w:fldCharType="separate"/>
          </w:r>
          <w:r>
            <w:rPr>
              <w:rFonts w:ascii="黑体" w:hAnsi="黑体" w:eastAsia="黑体"/>
            </w:rPr>
            <w:t>7.3 本地运行方式</w:t>
          </w:r>
          <w:r>
            <w:tab/>
          </w:r>
          <w:r>
            <w:fldChar w:fldCharType="begin"/>
          </w:r>
          <w:r>
            <w:instrText xml:space="preserve"> PAGEREF _Toc127412027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CED26A1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_Toc372741730 </w:instrText>
          </w:r>
          <w:r>
            <w:fldChar w:fldCharType="separate"/>
          </w:r>
          <w:r>
            <w:rPr>
              <w:rFonts w:ascii="黑体" w:hAnsi="黑体" w:eastAsia="黑体"/>
            </w:rPr>
            <w:t>7.3.1 环境要求</w:t>
          </w:r>
          <w:r>
            <w:tab/>
          </w:r>
          <w:r>
            <w:fldChar w:fldCharType="begin"/>
          </w:r>
          <w:r>
            <w:instrText xml:space="preserve"> PAGEREF _Toc372741730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E1F9763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_Toc460457811 </w:instrText>
          </w:r>
          <w:r>
            <w:fldChar w:fldCharType="separate"/>
          </w:r>
          <w:r>
            <w:rPr>
              <w:rFonts w:ascii="黑体" w:hAnsi="黑体" w:eastAsia="黑体"/>
            </w:rPr>
            <w:t>7.3.2 安装与启动</w:t>
          </w:r>
          <w:r>
            <w:tab/>
          </w:r>
          <w:r>
            <w:fldChar w:fldCharType="begin"/>
          </w:r>
          <w:r>
            <w:instrText xml:space="preserve"> PAGEREF _Toc460457811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FE2F917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_Toc1530849336 </w:instrText>
          </w:r>
          <w:r>
            <w:fldChar w:fldCharType="separate"/>
          </w:r>
          <w:r>
            <w:rPr>
              <w:rFonts w:ascii="黑体" w:hAnsi="黑体" w:eastAsia="黑体"/>
            </w:rPr>
            <w:t>7.4 构建与部署</w:t>
          </w:r>
          <w:r>
            <w:tab/>
          </w:r>
          <w:r>
            <w:fldChar w:fldCharType="begin"/>
          </w:r>
          <w:r>
            <w:instrText xml:space="preserve"> PAGEREF _Toc1530849336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FB395E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_Toc2130699092 </w:instrText>
          </w:r>
          <w:r>
            <w:fldChar w:fldCharType="separate"/>
          </w:r>
          <w:r>
            <w:rPr>
              <w:rFonts w:ascii="黑体" w:hAnsi="黑体" w:eastAsia="黑体"/>
            </w:rPr>
            <w:t>7.4.1 前端构建</w:t>
          </w:r>
          <w:r>
            <w:tab/>
          </w:r>
          <w:r>
            <w:fldChar w:fldCharType="begin"/>
          </w:r>
          <w:r>
            <w:instrText xml:space="preserve"> PAGEREF _Toc2130699092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24EC04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_Toc1369825519 </w:instrText>
          </w:r>
          <w:r>
            <w:fldChar w:fldCharType="separate"/>
          </w:r>
          <w:r>
            <w:rPr>
              <w:rFonts w:ascii="黑体" w:hAnsi="黑体" w:eastAsia="黑体"/>
            </w:rPr>
            <w:t>7.4.2 后端构建</w:t>
          </w:r>
          <w:r>
            <w:tab/>
          </w:r>
          <w:r>
            <w:fldChar w:fldCharType="begin"/>
          </w:r>
          <w:r>
            <w:instrText xml:space="preserve"> PAGEREF _Toc1369825519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7082AF9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_Toc1632801993 </w:instrText>
          </w:r>
          <w:r>
            <w:fldChar w:fldCharType="separate"/>
          </w:r>
          <w:r>
            <w:rPr>
              <w:rFonts w:ascii="黑体" w:hAnsi="黑体" w:eastAsia="黑体"/>
            </w:rPr>
            <w:t>7.4.3 生产部署</w:t>
          </w:r>
          <w:r>
            <w:tab/>
          </w:r>
          <w:r>
            <w:fldChar w:fldCharType="begin"/>
          </w:r>
          <w:r>
            <w:instrText xml:space="preserve"> PAGEREF _Toc1632801993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00CFEA58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_Toc1957054985 </w:instrText>
          </w:r>
          <w:r>
            <w:fldChar w:fldCharType="separate"/>
          </w:r>
          <w:r>
            <w:rPr>
              <w:rFonts w:ascii="黑体" w:hAnsi="黑体" w:eastAsia="黑体"/>
            </w:rPr>
            <w:t>7.5 环境变量</w:t>
          </w:r>
          <w:r>
            <w:tab/>
          </w:r>
          <w:r>
            <w:fldChar w:fldCharType="begin"/>
          </w:r>
          <w:r>
            <w:instrText xml:space="preserve"> PAGEREF _Toc1957054985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01C0AA7">
          <w:pPr>
            <w:pStyle w:val="27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_Toc1363595443 </w:instrText>
          </w:r>
          <w:r>
            <w:fldChar w:fldCharType="separate"/>
          </w:r>
          <w:r>
            <w:rPr>
              <w:rFonts w:ascii="黑体" w:hAnsi="黑体" w:eastAsia="黑体"/>
            </w:rPr>
            <w:t>8. 关键设计决策（ADR）</w:t>
          </w:r>
          <w:r>
            <w:tab/>
          </w:r>
          <w:r>
            <w:fldChar w:fldCharType="begin"/>
          </w:r>
          <w:r>
            <w:instrText xml:space="preserve"> PAGEREF _Toc1363595443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C90AEDC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_Toc3129717 </w:instrText>
          </w:r>
          <w:r>
            <w:fldChar w:fldCharType="separate"/>
          </w:r>
          <w:r>
            <w:rPr>
              <w:rFonts w:ascii="黑体" w:hAnsi="黑体" w:eastAsia="黑体"/>
            </w:rPr>
            <w:t>8.1 ADR-001: 选择pg原生驱动而非ORM</w:t>
          </w:r>
          <w:r>
            <w:tab/>
          </w:r>
          <w:r>
            <w:fldChar w:fldCharType="begin"/>
          </w:r>
          <w:r>
            <w:instrText xml:space="preserve"> PAGEREF _Toc3129717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3080942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_Toc1061546091 </w:instrText>
          </w:r>
          <w:r>
            <w:fldChar w:fldCharType="separate"/>
          </w:r>
          <w:r>
            <w:rPr>
              <w:rFonts w:ascii="黑体" w:hAnsi="黑体" w:eastAsia="黑体"/>
            </w:rPr>
            <w:t>8.1.1 决策</w:t>
          </w:r>
          <w:r>
            <w:tab/>
          </w:r>
          <w:r>
            <w:fldChar w:fldCharType="begin"/>
          </w:r>
          <w:r>
            <w:instrText xml:space="preserve"> PAGEREF _Toc1061546091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3C1F60B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_Toc111012161 </w:instrText>
          </w:r>
          <w:r>
            <w:fldChar w:fldCharType="separate"/>
          </w:r>
          <w:r>
            <w:rPr>
              <w:rFonts w:ascii="黑体" w:hAnsi="黑体" w:eastAsia="黑体"/>
            </w:rPr>
            <w:t>8.1.2 理由</w:t>
          </w:r>
          <w:r>
            <w:tab/>
          </w:r>
          <w:r>
            <w:fldChar w:fldCharType="begin"/>
          </w:r>
          <w:r>
            <w:instrText xml:space="preserve"> PAGEREF _Toc111012161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90DF3E4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_Toc1765584331 </w:instrText>
          </w:r>
          <w:r>
            <w:fldChar w:fldCharType="separate"/>
          </w:r>
          <w:r>
            <w:rPr>
              <w:rFonts w:ascii="黑体" w:hAnsi="黑体" w:eastAsia="黑体"/>
            </w:rPr>
            <w:t>8.2 ADR-002: Schema级多租户隔离</w:t>
          </w:r>
          <w:r>
            <w:tab/>
          </w:r>
          <w:r>
            <w:fldChar w:fldCharType="begin"/>
          </w:r>
          <w:r>
            <w:instrText xml:space="preserve"> PAGEREF _Toc1765584331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6C0B30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_Toc246816871 </w:instrText>
          </w:r>
          <w:r>
            <w:fldChar w:fldCharType="separate"/>
          </w:r>
          <w:r>
            <w:rPr>
              <w:rFonts w:ascii="黑体" w:hAnsi="黑体" w:eastAsia="黑体"/>
            </w:rPr>
            <w:t>8.2.1 决策</w:t>
          </w:r>
          <w:r>
            <w:tab/>
          </w:r>
          <w:r>
            <w:fldChar w:fldCharType="begin"/>
          </w:r>
          <w:r>
            <w:instrText xml:space="preserve"> PAGEREF _Toc246816871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BC641C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_Toc1460228540 </w:instrText>
          </w:r>
          <w:r>
            <w:fldChar w:fldCharType="separate"/>
          </w:r>
          <w:r>
            <w:rPr>
              <w:rFonts w:ascii="黑体" w:hAnsi="黑体" w:eastAsia="黑体"/>
            </w:rPr>
            <w:t>8.2.2 理由</w:t>
          </w:r>
          <w:r>
            <w:tab/>
          </w:r>
          <w:r>
            <w:fldChar w:fldCharType="begin"/>
          </w:r>
          <w:r>
            <w:instrText xml:space="preserve"> PAGEREF _Toc1460228540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3E6B32A8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_Toc617953864 </w:instrText>
          </w:r>
          <w:r>
            <w:fldChar w:fldCharType="separate"/>
          </w:r>
          <w:r>
            <w:rPr>
              <w:rFonts w:ascii="黑体" w:hAnsi="黑体" w:eastAsia="黑体"/>
            </w:rPr>
            <w:t>8.3 ADR-003: 内存缓存字典树</w:t>
          </w:r>
          <w:r>
            <w:tab/>
          </w:r>
          <w:r>
            <w:fldChar w:fldCharType="begin"/>
          </w:r>
          <w:r>
            <w:instrText xml:space="preserve"> PAGEREF _Toc617953864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66A82A9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_Toc719675356 </w:instrText>
          </w:r>
          <w:r>
            <w:fldChar w:fldCharType="separate"/>
          </w:r>
          <w:r>
            <w:rPr>
              <w:rFonts w:ascii="黑体" w:hAnsi="黑体" w:eastAsia="黑体"/>
            </w:rPr>
            <w:t>8.3.1 决策</w:t>
          </w:r>
          <w:r>
            <w:tab/>
          </w:r>
          <w:r>
            <w:fldChar w:fldCharType="begin"/>
          </w:r>
          <w:r>
            <w:instrText xml:space="preserve"> PAGEREF _Toc719675356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C41872E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_Toc955808388 </w:instrText>
          </w:r>
          <w:r>
            <w:fldChar w:fldCharType="separate"/>
          </w:r>
          <w:r>
            <w:rPr>
              <w:rFonts w:ascii="黑体" w:hAnsi="黑体" w:eastAsia="黑体"/>
            </w:rPr>
            <w:t>8.3.2 理由</w:t>
          </w:r>
          <w:r>
            <w:tab/>
          </w:r>
          <w:r>
            <w:fldChar w:fldCharType="begin"/>
          </w:r>
          <w:r>
            <w:instrText xml:space="preserve"> PAGEREF _Toc955808388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6289B57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_Toc1093897556 </w:instrText>
          </w:r>
          <w:r>
            <w:fldChar w:fldCharType="separate"/>
          </w:r>
          <w:r>
            <w:rPr>
              <w:rFonts w:ascii="黑体" w:hAnsi="黑体" w:eastAsia="黑体"/>
            </w:rPr>
            <w:t>8.4 ADR-004: 运行时动态数据源切换</w:t>
          </w:r>
          <w:r>
            <w:tab/>
          </w:r>
          <w:r>
            <w:fldChar w:fldCharType="begin"/>
          </w:r>
          <w:r>
            <w:instrText xml:space="preserve"> PAGEREF _Toc1093897556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9C73144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_Toc528721725 </w:instrText>
          </w:r>
          <w:r>
            <w:fldChar w:fldCharType="separate"/>
          </w:r>
          <w:r>
            <w:rPr>
              <w:rFonts w:ascii="黑体" w:hAnsi="黑体" w:eastAsia="黑体"/>
            </w:rPr>
            <w:t>8.4.1 决策</w:t>
          </w:r>
          <w:r>
            <w:tab/>
          </w:r>
          <w:r>
            <w:fldChar w:fldCharType="begin"/>
          </w:r>
          <w:r>
            <w:instrText xml:space="preserve"> PAGEREF _Toc528721725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7D0E6160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_Toc2086184436 </w:instrText>
          </w:r>
          <w:r>
            <w:fldChar w:fldCharType="separate"/>
          </w:r>
          <w:r>
            <w:rPr>
              <w:rFonts w:ascii="黑体" w:hAnsi="黑体" w:eastAsia="黑体"/>
            </w:rPr>
            <w:t>8.4.2 理由</w:t>
          </w:r>
          <w:r>
            <w:tab/>
          </w:r>
          <w:r>
            <w:fldChar w:fldCharType="begin"/>
          </w:r>
          <w:r>
            <w:instrText xml:space="preserve"> PAGEREF _Toc2086184436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197ACAF">
          <w:pPr>
            <w:pStyle w:val="30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_Toc536311283 </w:instrText>
          </w:r>
          <w:r>
            <w:fldChar w:fldCharType="separate"/>
          </w:r>
          <w:r>
            <w:rPr>
              <w:rFonts w:ascii="黑体" w:hAnsi="黑体" w:eastAsia="黑体"/>
            </w:rPr>
            <w:t>8.5 ADR-005: 前端路由守卫认证</w:t>
          </w:r>
          <w:r>
            <w:tab/>
          </w:r>
          <w:r>
            <w:fldChar w:fldCharType="begin"/>
          </w:r>
          <w:r>
            <w:instrText xml:space="preserve"> PAGEREF _Toc536311283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04FA1B7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_Toc794866922 </w:instrText>
          </w:r>
          <w:r>
            <w:fldChar w:fldCharType="separate"/>
          </w:r>
          <w:r>
            <w:rPr>
              <w:rFonts w:ascii="黑体" w:hAnsi="黑体" w:eastAsia="黑体"/>
            </w:rPr>
            <w:t>8.5.1 决策</w:t>
          </w:r>
          <w:r>
            <w:tab/>
          </w:r>
          <w:r>
            <w:fldChar w:fldCharType="begin"/>
          </w:r>
          <w:r>
            <w:instrText xml:space="preserve"> PAGEREF _Toc794866922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A02A890">
          <w:pPr>
            <w:pStyle w:val="24"/>
            <w:tabs>
              <w:tab w:val="right" w:leader="dot" w:pos="8646"/>
            </w:tabs>
          </w:pPr>
          <w:r>
            <w:fldChar w:fldCharType="begin"/>
          </w:r>
          <w:r>
            <w:instrText xml:space="preserve"> HYPERLINK \l _Toc1980073714 </w:instrText>
          </w:r>
          <w:r>
            <w:fldChar w:fldCharType="separate"/>
          </w:r>
          <w:r>
            <w:rPr>
              <w:rFonts w:ascii="黑体" w:hAnsi="黑体" w:eastAsia="黑体"/>
            </w:rPr>
            <w:t>8.5.2 理由</w:t>
          </w:r>
          <w:r>
            <w:tab/>
          </w:r>
          <w:r>
            <w:fldChar w:fldCharType="begin"/>
          </w:r>
          <w:r>
            <w:instrText xml:space="preserve"> PAGEREF _Toc1980073714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7842D05">
          <w:r>
            <w:fldChar w:fldCharType="end"/>
          </w:r>
        </w:p>
      </w:sdtContent>
    </w:sdt>
    <w:p w14:paraId="3DF22E7E"/>
    <w:p w14:paraId="29ACEC8A">
      <w:r>
        <w:br w:type="page"/>
      </w:r>
    </w:p>
    <w:p w14:paraId="20B5810B">
      <w:pPr>
        <w:pStyle w:val="3"/>
      </w:pPr>
      <w:bookmarkStart w:id="1" w:name="_Toc359007725"/>
      <w:r>
        <w:rPr>
          <w:rFonts w:ascii="黑体" w:hAnsi="黑体" w:eastAsia="黑体"/>
          <w:color w:val="000000"/>
          <w:sz w:val="32"/>
        </w:rPr>
        <w:t>1. 架构概述</w:t>
      </w:r>
      <w:bookmarkEnd w:id="1"/>
    </w:p>
    <w:p w14:paraId="1EB9830C">
      <w:pPr>
        <w:pStyle w:val="4"/>
      </w:pPr>
      <w:bookmarkStart w:id="2" w:name="_Toc1561269652"/>
      <w:r>
        <w:rPr>
          <w:rFonts w:ascii="黑体" w:hAnsi="黑体" w:eastAsia="黑体"/>
          <w:color w:val="000000"/>
          <w:sz w:val="28"/>
        </w:rPr>
        <w:t>1.1 架构设计目标</w:t>
      </w:r>
      <w:bookmarkEnd w:id="2"/>
    </w:p>
    <w:p w14:paraId="56BE70B9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本系统架构设计围绕以下五大目标展开：</w:t>
      </w:r>
    </w:p>
    <w:p w14:paraId="2831FDBF">
      <w:pPr>
        <w:pStyle w:val="16"/>
        <w:spacing w:line="360" w:lineRule="auto"/>
      </w:pPr>
      <w:r>
        <w:rPr>
          <w:rFonts w:ascii="宋体" w:hAnsi="宋体" w:eastAsia="宋体"/>
          <w:sz w:val="22"/>
        </w:rPr>
        <w:t>可扩展性（Scalability）：系统采用模块化设计，各业务模块解耦，支持独立开发、测试和部署。新增业务模块无需修改现有核心架构，通过统一的扩展机制即可集成。</w:t>
      </w:r>
    </w:p>
    <w:p w14:paraId="763BCEC8">
      <w:pPr>
        <w:pStyle w:val="16"/>
        <w:spacing w:line="360" w:lineRule="auto"/>
      </w:pPr>
      <w:r>
        <w:rPr>
          <w:rFonts w:ascii="宋体" w:hAnsi="宋体" w:eastAsia="宋体"/>
          <w:sz w:val="22"/>
        </w:rPr>
        <w:t>可维护性（Maintainability）：遵循分层架构原则，每一层职责清晰，代码结构统一。采用TypeScript强类型语言，配合统一的编码规范和代码审查流程，降低维护成本。</w:t>
      </w:r>
    </w:p>
    <w:p w14:paraId="7E6F9A45">
      <w:pPr>
        <w:pStyle w:val="16"/>
        <w:spacing w:line="360" w:lineRule="auto"/>
      </w:pPr>
      <w:r>
        <w:rPr>
          <w:rFonts w:ascii="宋体" w:hAnsi="宋体" w:eastAsia="宋体"/>
          <w:sz w:val="22"/>
        </w:rPr>
        <w:t>安全性（Security）：采用多租户Schema级数据隔离，确保租户间数据互不可见。使用参数化SQL查询防止SQL注入，JWT令牌实现身份认证和授权，关键操作记录审计日志。</w:t>
      </w:r>
    </w:p>
    <w:p w14:paraId="31ACDFA0">
      <w:pPr>
        <w:pStyle w:val="16"/>
        <w:spacing w:line="360" w:lineRule="auto"/>
      </w:pPr>
      <w:r>
        <w:rPr>
          <w:rFonts w:ascii="宋体" w:hAnsi="宋体" w:eastAsia="宋体"/>
          <w:sz w:val="22"/>
        </w:rPr>
        <w:t>可测试性（Testability）：分层架构使得各层可以独立测试。Domain层可脱离HTTP上下文进行纯业务逻辑单元测试，Service层可模拟依赖进行集成测试，Controller层可进行端到端接口测试。</w:t>
      </w:r>
    </w:p>
    <w:p w14:paraId="2E17728B">
      <w:pPr>
        <w:pStyle w:val="16"/>
        <w:spacing w:line="360" w:lineRule="auto"/>
      </w:pPr>
      <w:r>
        <w:rPr>
          <w:rFonts w:ascii="宋体" w:hAnsi="宋体" w:eastAsia="宋体"/>
          <w:sz w:val="22"/>
        </w:rPr>
        <w:t>开发效率（Development Efficiency）：采用前后端分离架构，前后端团队可并行开发。共享类型定义包（@cec/contracts）确保前后端接口契约一致，减少联调成本。pnpm monorepo管理模式简化依赖管理和项目配置。</w:t>
      </w:r>
    </w:p>
    <w:p w14:paraId="50C675E6">
      <w:pPr>
        <w:pStyle w:val="4"/>
      </w:pPr>
      <w:bookmarkStart w:id="3" w:name="_Toc156358471"/>
      <w:r>
        <w:rPr>
          <w:rFonts w:ascii="黑体" w:hAnsi="黑体" w:eastAsia="黑体"/>
          <w:color w:val="000000"/>
          <w:sz w:val="28"/>
        </w:rPr>
        <w:t>1.2 架构风格</w:t>
      </w:r>
      <w:bookmarkEnd w:id="3"/>
    </w:p>
    <w:p w14:paraId="78CFC979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本系统采用前后端分离 + 三层分层架构（Controller → Service → Domain）的架构风格。前后端通过标准RESTful API进行通信，后端内部遵循严格的三层职责划分。</w:t>
      </w:r>
    </w:p>
    <w:p w14:paraId="0224B757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前后端分离架构使得前端专注于用户界面和交互体验，后端专注于业务逻辑和数据管理。前端通过HTTP/HTTPS协议调用后端API，数据交换格式为JSON。后端三层架构中，Controller层负责请求接收和响应返回，Service层负责业务编排，Domain层负责核心业务规则和数据访问。</w:t>
      </w:r>
    </w:p>
    <w:p w14:paraId="7DCC116F">
      <w:pPr>
        <w:pStyle w:val="4"/>
      </w:pPr>
      <w:bookmarkStart w:id="4" w:name="_Toc1544321816"/>
      <w:r>
        <w:rPr>
          <w:rFonts w:ascii="黑体" w:hAnsi="黑体" w:eastAsia="黑体"/>
          <w:color w:val="000000"/>
          <w:sz w:val="28"/>
        </w:rPr>
        <w:t>1.3 整体架构描述</w:t>
      </w:r>
      <w:bookmarkEnd w:id="4"/>
    </w:p>
    <w:p w14:paraId="3EE28D0D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系统整体架构以前端Vue 3 + TypeScript构建用户界面，后端Express + Node.js提供API服务，PostgreSQL作为数据存储层。前端通过Axios HTTP客户端与后端通信，后端采用三层架构（Controller → Service → Domain）组织代码，确保业务逻辑清晰、职责分明。</w:t>
      </w:r>
    </w:p>
    <w:p w14:paraId="321718D1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多租户方面，采用PostgreSQL Schema级数据隔离方案，每个租户拥有独立的数据库Schema，通过运行时动态切换Schema实现对不同租户数据的访问隔离。租户上下文通过AsyncLocalStorage机制在请求链路中传递，确保数据访问的正确路由。</w:t>
      </w:r>
    </w:p>
    <w:p w14:paraId="0114397B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缓存方面，字典树等高频读、低频写的数据采用内存缓存，配合TTL（Time-To-Live）机制确保数据时效性。草稿数据暂存于内存中，重启后丢失。所有持久化数据统一存储在PostgreSQL数据库中。</w:t>
      </w:r>
    </w:p>
    <w:p w14:paraId="3026BC5B">
      <w:pPr>
        <w:pStyle w:val="3"/>
      </w:pPr>
      <w:bookmarkStart w:id="5" w:name="_Toc929403870"/>
      <w:r>
        <w:rPr>
          <w:rFonts w:ascii="黑体" w:hAnsi="黑体" w:eastAsia="黑体"/>
          <w:color w:val="000000"/>
          <w:sz w:val="32"/>
        </w:rPr>
        <w:t>2. 技术架构</w:t>
      </w:r>
      <w:bookmarkEnd w:id="5"/>
    </w:p>
    <w:p w14:paraId="7FD3B05E">
      <w:pPr>
        <w:pStyle w:val="4"/>
      </w:pPr>
      <w:bookmarkStart w:id="6" w:name="_Toc1842278459"/>
      <w:r>
        <w:rPr>
          <w:rFonts w:ascii="黑体" w:hAnsi="黑体" w:eastAsia="黑体"/>
          <w:color w:val="000000"/>
          <w:sz w:val="28"/>
        </w:rPr>
        <w:t>2.1 技术栈总览</w:t>
      </w:r>
      <w:bookmarkEnd w:id="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7FB93E72">
        <w:trPr>
          <w:jc w:val="center"/>
        </w:trPr>
        <w:tc>
          <w:tcPr>
            <w:tcW w:w="2882" w:type="dxa"/>
            <w:shd w:val="clear" w:color="auto" w:fill="D9E2F3"/>
          </w:tcPr>
          <w:p w14:paraId="13557DB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w="2882" w:type="dxa"/>
            <w:shd w:val="clear" w:color="auto" w:fill="D9E2F3"/>
          </w:tcPr>
          <w:p w14:paraId="0DCD688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  <w:tc>
          <w:tcPr>
            <w:tcW w:w="2882" w:type="dxa"/>
            <w:shd w:val="clear" w:color="auto" w:fill="D9E2F3"/>
          </w:tcPr>
          <w:p w14:paraId="2B26C24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</w:tr>
      <w:tr w14:paraId="4F27AD7C">
        <w:trPr>
          <w:jc w:val="center"/>
        </w:trPr>
        <w:tc>
          <w:tcPr>
            <w:tcW w:w="2882" w:type="dxa"/>
          </w:tcPr>
          <w:p w14:paraId="043615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运行环境</w:t>
            </w:r>
          </w:p>
        </w:tc>
        <w:tc>
          <w:tcPr>
            <w:tcW w:w="2882" w:type="dxa"/>
          </w:tcPr>
          <w:p w14:paraId="0A1FE8A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Node.js</w:t>
            </w:r>
          </w:p>
        </w:tc>
        <w:tc>
          <w:tcPr>
            <w:tcW w:w="2882" w:type="dxa"/>
          </w:tcPr>
          <w:p w14:paraId="17C7BC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20 LTS</w:t>
            </w:r>
          </w:p>
        </w:tc>
      </w:tr>
      <w:tr w14:paraId="4F13B452">
        <w:trPr>
          <w:jc w:val="center"/>
        </w:trPr>
        <w:tc>
          <w:tcPr>
            <w:tcW w:w="2882" w:type="dxa"/>
          </w:tcPr>
          <w:p w14:paraId="0EDD7B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后端框架</w:t>
            </w:r>
          </w:p>
        </w:tc>
        <w:tc>
          <w:tcPr>
            <w:tcW w:w="2882" w:type="dxa"/>
          </w:tcPr>
          <w:p w14:paraId="472FBE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Express</w:t>
            </w:r>
          </w:p>
        </w:tc>
        <w:tc>
          <w:tcPr>
            <w:tcW w:w="2882" w:type="dxa"/>
          </w:tcPr>
          <w:p w14:paraId="20A2CCC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4.21</w:t>
            </w:r>
          </w:p>
        </w:tc>
      </w:tr>
      <w:tr w14:paraId="30E4EEEE">
        <w:trPr>
          <w:jc w:val="center"/>
        </w:trPr>
        <w:tc>
          <w:tcPr>
            <w:tcW w:w="2882" w:type="dxa"/>
          </w:tcPr>
          <w:p w14:paraId="5CFD3F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后端语言</w:t>
            </w:r>
          </w:p>
        </w:tc>
        <w:tc>
          <w:tcPr>
            <w:tcW w:w="2882" w:type="dxa"/>
          </w:tcPr>
          <w:p w14:paraId="41A545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TypeScript</w:t>
            </w:r>
          </w:p>
        </w:tc>
        <w:tc>
          <w:tcPr>
            <w:tcW w:w="2882" w:type="dxa"/>
          </w:tcPr>
          <w:p w14:paraId="6742631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5.6+</w:t>
            </w:r>
          </w:p>
        </w:tc>
      </w:tr>
      <w:tr w14:paraId="40FDB9AD">
        <w:trPr>
          <w:jc w:val="center"/>
        </w:trPr>
        <w:tc>
          <w:tcPr>
            <w:tcW w:w="2882" w:type="dxa"/>
          </w:tcPr>
          <w:p w14:paraId="22DD96B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前端框架</w:t>
            </w:r>
          </w:p>
        </w:tc>
        <w:tc>
          <w:tcPr>
            <w:tcW w:w="2882" w:type="dxa"/>
          </w:tcPr>
          <w:p w14:paraId="417287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Vue 3 (Composition API)</w:t>
            </w:r>
          </w:p>
        </w:tc>
        <w:tc>
          <w:tcPr>
            <w:tcW w:w="2882" w:type="dxa"/>
          </w:tcPr>
          <w:p w14:paraId="39244B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3.x</w:t>
            </w:r>
          </w:p>
        </w:tc>
      </w:tr>
      <w:tr w14:paraId="2C3713A7">
        <w:trPr>
          <w:jc w:val="center"/>
        </w:trPr>
        <w:tc>
          <w:tcPr>
            <w:tcW w:w="2882" w:type="dxa"/>
          </w:tcPr>
          <w:p w14:paraId="18B8C3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前端语言</w:t>
            </w:r>
          </w:p>
        </w:tc>
        <w:tc>
          <w:tcPr>
            <w:tcW w:w="2882" w:type="dxa"/>
          </w:tcPr>
          <w:p w14:paraId="480CB5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TypeScript</w:t>
            </w:r>
          </w:p>
        </w:tc>
        <w:tc>
          <w:tcPr>
            <w:tcW w:w="2882" w:type="dxa"/>
          </w:tcPr>
          <w:p w14:paraId="2C8161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5.6+</w:t>
            </w:r>
          </w:p>
        </w:tc>
      </w:tr>
      <w:tr w14:paraId="42885304">
        <w:trPr>
          <w:jc w:val="center"/>
        </w:trPr>
        <w:tc>
          <w:tcPr>
            <w:tcW w:w="2882" w:type="dxa"/>
          </w:tcPr>
          <w:p w14:paraId="6B5690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UI组件库</w:t>
            </w:r>
          </w:p>
        </w:tc>
        <w:tc>
          <w:tcPr>
            <w:tcW w:w="2882" w:type="dxa"/>
          </w:tcPr>
          <w:p w14:paraId="76249BE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Element Plus</w:t>
            </w:r>
          </w:p>
        </w:tc>
        <w:tc>
          <w:tcPr>
            <w:tcW w:w="2882" w:type="dxa"/>
          </w:tcPr>
          <w:p w14:paraId="42140A7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最新稳定版</w:t>
            </w:r>
          </w:p>
        </w:tc>
      </w:tr>
      <w:tr w14:paraId="41B4F824">
        <w:trPr>
          <w:jc w:val="center"/>
        </w:trPr>
        <w:tc>
          <w:tcPr>
            <w:tcW w:w="2882" w:type="dxa"/>
          </w:tcPr>
          <w:p w14:paraId="4F3C0E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数据可视化</w:t>
            </w:r>
          </w:p>
        </w:tc>
        <w:tc>
          <w:tcPr>
            <w:tcW w:w="2882" w:type="dxa"/>
          </w:tcPr>
          <w:p w14:paraId="0CAB0B2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ECharts 6 + vue-echarts</w:t>
            </w:r>
          </w:p>
        </w:tc>
        <w:tc>
          <w:tcPr>
            <w:tcW w:w="2882" w:type="dxa"/>
          </w:tcPr>
          <w:p w14:paraId="053A53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6.x</w:t>
            </w:r>
          </w:p>
        </w:tc>
      </w:tr>
      <w:tr w14:paraId="5377F0D6">
        <w:trPr>
          <w:jc w:val="center"/>
        </w:trPr>
        <w:tc>
          <w:tcPr>
            <w:tcW w:w="2882" w:type="dxa"/>
          </w:tcPr>
          <w:p w14:paraId="57C1341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状态管理</w:t>
            </w:r>
          </w:p>
        </w:tc>
        <w:tc>
          <w:tcPr>
            <w:tcW w:w="2882" w:type="dxa"/>
          </w:tcPr>
          <w:p w14:paraId="437059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Pinia</w:t>
            </w:r>
          </w:p>
        </w:tc>
        <w:tc>
          <w:tcPr>
            <w:tcW w:w="2882" w:type="dxa"/>
          </w:tcPr>
          <w:p w14:paraId="611C125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最新稳定版</w:t>
            </w:r>
          </w:p>
        </w:tc>
      </w:tr>
      <w:tr w14:paraId="64DEDB38">
        <w:trPr>
          <w:jc w:val="center"/>
        </w:trPr>
        <w:tc>
          <w:tcPr>
            <w:tcW w:w="2882" w:type="dxa"/>
          </w:tcPr>
          <w:p w14:paraId="37CC91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路由管理</w:t>
            </w:r>
          </w:p>
        </w:tc>
        <w:tc>
          <w:tcPr>
            <w:tcW w:w="2882" w:type="dxa"/>
          </w:tcPr>
          <w:p w14:paraId="27A8D6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Vue Router 4</w:t>
            </w:r>
          </w:p>
        </w:tc>
        <w:tc>
          <w:tcPr>
            <w:tcW w:w="2882" w:type="dxa"/>
          </w:tcPr>
          <w:p w14:paraId="4A8DBE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4.x</w:t>
            </w:r>
          </w:p>
        </w:tc>
      </w:tr>
      <w:tr w14:paraId="5B749027">
        <w:trPr>
          <w:jc w:val="center"/>
        </w:trPr>
        <w:tc>
          <w:tcPr>
            <w:tcW w:w="2882" w:type="dxa"/>
          </w:tcPr>
          <w:p w14:paraId="14C57DB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构建工具</w:t>
            </w:r>
          </w:p>
        </w:tc>
        <w:tc>
          <w:tcPr>
            <w:tcW w:w="2882" w:type="dxa"/>
          </w:tcPr>
          <w:p w14:paraId="1AA6EC7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Vite</w:t>
            </w:r>
          </w:p>
        </w:tc>
        <w:tc>
          <w:tcPr>
            <w:tcW w:w="2882" w:type="dxa"/>
          </w:tcPr>
          <w:p w14:paraId="7905A24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最新稳定版</w:t>
            </w:r>
          </w:p>
        </w:tc>
      </w:tr>
      <w:tr w14:paraId="51DC42BC">
        <w:trPr>
          <w:jc w:val="center"/>
        </w:trPr>
        <w:tc>
          <w:tcPr>
            <w:tcW w:w="2882" w:type="dxa"/>
          </w:tcPr>
          <w:p w14:paraId="2201F6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数据库</w:t>
            </w:r>
          </w:p>
        </w:tc>
        <w:tc>
          <w:tcPr>
            <w:tcW w:w="2882" w:type="dxa"/>
          </w:tcPr>
          <w:p w14:paraId="59B39B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PostgreSQL</w:t>
            </w:r>
          </w:p>
        </w:tc>
        <w:tc>
          <w:tcPr>
            <w:tcW w:w="2882" w:type="dxa"/>
          </w:tcPr>
          <w:p w14:paraId="7AE631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16+</w:t>
            </w:r>
          </w:p>
        </w:tc>
      </w:tr>
      <w:tr w14:paraId="3910EC74">
        <w:trPr>
          <w:jc w:val="center"/>
        </w:trPr>
        <w:tc>
          <w:tcPr>
            <w:tcW w:w="2882" w:type="dxa"/>
          </w:tcPr>
          <w:p w14:paraId="2665F6E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包管理</w:t>
            </w:r>
          </w:p>
        </w:tc>
        <w:tc>
          <w:tcPr>
            <w:tcW w:w="2882" w:type="dxa"/>
          </w:tcPr>
          <w:p w14:paraId="4EFAA4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pnpm</w:t>
            </w:r>
          </w:p>
        </w:tc>
        <w:tc>
          <w:tcPr>
            <w:tcW w:w="2882" w:type="dxa"/>
          </w:tcPr>
          <w:p w14:paraId="78CAB7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9+</w:t>
            </w:r>
          </w:p>
        </w:tc>
      </w:tr>
      <w:tr w14:paraId="57B53FD5">
        <w:trPr>
          <w:jc w:val="center"/>
        </w:trPr>
        <w:tc>
          <w:tcPr>
            <w:tcW w:w="2882" w:type="dxa"/>
          </w:tcPr>
          <w:p w14:paraId="61A4C1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HTTP客户端</w:t>
            </w:r>
          </w:p>
        </w:tc>
        <w:tc>
          <w:tcPr>
            <w:tcW w:w="2882" w:type="dxa"/>
          </w:tcPr>
          <w:p w14:paraId="576F0E9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Axios</w:t>
            </w:r>
          </w:p>
        </w:tc>
        <w:tc>
          <w:tcPr>
            <w:tcW w:w="2882" w:type="dxa"/>
          </w:tcPr>
          <w:p w14:paraId="2FB4637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最新稳定版</w:t>
            </w:r>
          </w:p>
        </w:tc>
      </w:tr>
    </w:tbl>
    <w:p w14:paraId="2E5111ED"/>
    <w:p w14:paraId="71BD28A4">
      <w:pPr>
        <w:pStyle w:val="4"/>
      </w:pPr>
      <w:bookmarkStart w:id="7" w:name="_Toc754837967"/>
      <w:r>
        <w:rPr>
          <w:rFonts w:ascii="黑体" w:hAnsi="黑体" w:eastAsia="黑体"/>
          <w:color w:val="000000"/>
          <w:sz w:val="28"/>
        </w:rPr>
        <w:t>2.2 后端技术栈</w:t>
      </w:r>
      <w:bookmarkEnd w:id="7"/>
    </w:p>
    <w:p w14:paraId="4897AB51">
      <w:pPr>
        <w:pStyle w:val="5"/>
      </w:pPr>
      <w:bookmarkStart w:id="8" w:name="_Toc1375808540"/>
      <w:r>
        <w:rPr>
          <w:rFonts w:ascii="黑体" w:hAnsi="黑体" w:eastAsia="黑体"/>
          <w:color w:val="000000"/>
          <w:sz w:val="24"/>
        </w:rPr>
        <w:t>2.2.1 核心框架</w:t>
      </w:r>
      <w:bookmarkEnd w:id="8"/>
    </w:p>
    <w:p w14:paraId="3592EA61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后端基于Node.js 20 LTS运行时，使用Express 4.21框架构建Web应用。项目采用TypeScript 5.6+作为开发语言，提供类型安全和更好的开发体验。所有业务代码均使用TypeScript编写，编译后生成JavaScript运行。</w:t>
      </w:r>
    </w:p>
    <w:p w14:paraId="4C7DA4A9">
      <w:pPr>
        <w:pStyle w:val="5"/>
      </w:pPr>
      <w:bookmarkStart w:id="9" w:name="_Toc1257704531"/>
      <w:r>
        <w:rPr>
          <w:rFonts w:ascii="黑体" w:hAnsi="黑体" w:eastAsia="黑体"/>
          <w:color w:val="000000"/>
          <w:sz w:val="24"/>
        </w:rPr>
        <w:t>2.2.2 三层架构</w:t>
      </w:r>
      <w:bookmarkEnd w:id="9"/>
    </w:p>
    <w:p w14:paraId="4FF113C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后端代码严格遵循Controller → Service → Domain三层架构：</w:t>
      </w:r>
    </w:p>
    <w:p w14:paraId="6C12B4BB">
      <w:pPr>
        <w:pStyle w:val="16"/>
        <w:spacing w:line="360" w:lineRule="auto"/>
      </w:pPr>
      <w:r>
        <w:rPr>
          <w:rFonts w:ascii="宋体" w:hAnsi="宋体" w:eastAsia="宋体"/>
          <w:sz w:val="22"/>
        </w:rPr>
        <w:t>Controller层：负责路由注册、HTTP请求参数解析与校验、统一响应格式封装。Controller不包含任何业务逻辑，仅作为请求入口和响应出口。</w:t>
      </w:r>
    </w:p>
    <w:p w14:paraId="05C92B57">
      <w:pPr>
        <w:pStyle w:val="16"/>
        <w:spacing w:line="360" w:lineRule="auto"/>
      </w:pPr>
      <w:r>
        <w:rPr>
          <w:rFonts w:ascii="宋体" w:hAnsi="宋体" w:eastAsia="宋体"/>
          <w:sz w:val="22"/>
        </w:rPr>
        <w:t>Service层：负责业务编排和事务管理。Service协调多个Domain对象的协作，管理工作单元和事务边界，但不包含具体的业务规则。</w:t>
      </w:r>
    </w:p>
    <w:p w14:paraId="7E847705">
      <w:pPr>
        <w:pStyle w:val="16"/>
        <w:spacing w:line="360" w:lineRule="auto"/>
      </w:pPr>
      <w:r>
        <w:rPr>
          <w:rFonts w:ascii="宋体" w:hAnsi="宋体" w:eastAsia="宋体"/>
          <w:sz w:val="22"/>
        </w:rPr>
        <w:t>Domain层：负责核心业务规则和数据访问。Domain对象封装了最细粒度的业务逻辑，通过数据访问对象（DAO）与数据库交互。这是系统中最稳定、复用价值最高的层次。</w:t>
      </w:r>
    </w:p>
    <w:p w14:paraId="0F3788D5">
      <w:pPr>
        <w:pStyle w:val="5"/>
      </w:pPr>
      <w:bookmarkStart w:id="10" w:name="_Toc558515096"/>
      <w:r>
        <w:rPr>
          <w:rFonts w:ascii="黑体" w:hAnsi="黑体" w:eastAsia="黑体"/>
          <w:color w:val="000000"/>
          <w:sz w:val="24"/>
        </w:rPr>
        <w:t>2.2.3 数据库访问</w:t>
      </w:r>
      <w:bookmarkEnd w:id="10"/>
    </w:p>
    <w:p w14:paraId="557867DB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采用pg（node-postgres）原生数据库驱动，使用参数化SQL查询防止SQL注入攻击。不使用ORM框架，所有SQL语句由开发人员编写，确保对数据库操作的完全控制。连接池管理使用pg提供的Pool实现。</w:t>
      </w:r>
    </w:p>
    <w:p w14:paraId="6D8EBB4A">
      <w:pPr>
        <w:pStyle w:val="5"/>
      </w:pPr>
      <w:bookmarkStart w:id="11" w:name="_Toc312197435"/>
      <w:r>
        <w:rPr>
          <w:rFonts w:ascii="黑体" w:hAnsi="黑体" w:eastAsia="黑体"/>
          <w:color w:val="000000"/>
          <w:sz w:val="24"/>
        </w:rPr>
        <w:t>2.2.4 租户上下文传递</w:t>
      </w:r>
      <w:bookmarkEnd w:id="11"/>
    </w:p>
    <w:p w14:paraId="0B0985C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使用Node.js内置的AsyncLocalStorage（源自async_hooks模块）实现租户上下文的请求级传递。每个HTTP请求进入时，中间件从JWT令牌中解析租户信息，存入AsyncLocalStorage。后续任意层级的代码均可通过AsyncLocalStorage获取当前请求所属的租户，实现无侵入的上下文传递。</w:t>
      </w:r>
    </w:p>
    <w:p w14:paraId="651D2D3A">
      <w:pPr>
        <w:pStyle w:val="5"/>
      </w:pPr>
      <w:bookmarkStart w:id="12" w:name="_Toc799740424"/>
      <w:r>
        <w:rPr>
          <w:rFonts w:ascii="黑体" w:hAnsi="黑体" w:eastAsia="黑体"/>
          <w:color w:val="000000"/>
          <w:sz w:val="24"/>
        </w:rPr>
        <w:t>2.2.5 身份认证</w:t>
      </w:r>
      <w:bookmarkEnd w:id="12"/>
    </w:p>
    <w:p w14:paraId="1D59B5B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使用Node.js内置的crypto模块实现JWT（JSON Web Token）的HS256签名。不引入额外的JWT库，利用crypto.createHmac进行签名和验签操作。Token中包含用户ID、租户编码、角色等必要信息，有效期由配置文件控制。</w:t>
      </w:r>
    </w:p>
    <w:p w14:paraId="2F04728E">
      <w:pPr>
        <w:pStyle w:val="4"/>
      </w:pPr>
      <w:bookmarkStart w:id="13" w:name="_Toc137159595"/>
      <w:r>
        <w:rPr>
          <w:rFonts w:ascii="黑体" w:hAnsi="黑体" w:eastAsia="黑体"/>
          <w:color w:val="000000"/>
          <w:sz w:val="28"/>
        </w:rPr>
        <w:t>2.3 前端技术栈</w:t>
      </w:r>
      <w:bookmarkEnd w:id="13"/>
    </w:p>
    <w:p w14:paraId="2DDF1C83">
      <w:pPr>
        <w:pStyle w:val="5"/>
      </w:pPr>
      <w:bookmarkStart w:id="14" w:name="_Toc991359934"/>
      <w:r>
        <w:rPr>
          <w:rFonts w:ascii="黑体" w:hAnsi="黑体" w:eastAsia="黑体"/>
          <w:color w:val="000000"/>
          <w:sz w:val="24"/>
        </w:rPr>
        <w:t>2.3.1 核心框架</w:t>
      </w:r>
      <w:bookmarkEnd w:id="14"/>
    </w:p>
    <w:p w14:paraId="7328ACC6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前端使用Vue 3 Composition API + TypeScript构建。Composition API提供了更好的逻辑复用和代码组织能力，TypeScript提供了类型安全。UI组件使用Element Plus组件库，它提供了丰富的企业级组件和一致的设计语言。</w:t>
      </w:r>
    </w:p>
    <w:p w14:paraId="11809A22">
      <w:pPr>
        <w:pStyle w:val="5"/>
      </w:pPr>
      <w:bookmarkStart w:id="15" w:name="_Toc1608277312"/>
      <w:r>
        <w:rPr>
          <w:rFonts w:ascii="黑体" w:hAnsi="黑体" w:eastAsia="黑体"/>
          <w:color w:val="000000"/>
          <w:sz w:val="24"/>
        </w:rPr>
        <w:t>2.3.2 数据可视化</w:t>
      </w:r>
      <w:bookmarkEnd w:id="15"/>
    </w:p>
    <w:p w14:paraId="491003FD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数据可视化使用ECharts 6 + vue-echarts组合。ECharts提供了丰富的图表类型和强大的渲染能力，vue-echarts提供了Vue 3的声明式集成。主要用于编码统计分析、趋势展示等数据可视化场景。</w:t>
      </w:r>
    </w:p>
    <w:p w14:paraId="104D82D1">
      <w:pPr>
        <w:pStyle w:val="5"/>
      </w:pPr>
      <w:bookmarkStart w:id="16" w:name="_Toc2087601642"/>
      <w:r>
        <w:rPr>
          <w:rFonts w:ascii="黑体" w:hAnsi="黑体" w:eastAsia="黑体"/>
          <w:color w:val="000000"/>
          <w:sz w:val="24"/>
        </w:rPr>
        <w:t>2.3.3 状态管理与路由</w:t>
      </w:r>
      <w:bookmarkEnd w:id="16"/>
    </w:p>
    <w:p w14:paraId="259FF912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状态管理使用Pinia，它是Vue 3官方推荐的状态管理库，相比Vuex具有更简洁的API和更好的TypeScript支持。路由管理使用Vue Router 4，配合路由守卫实现登录状态检查、权限控制等功能。</w:t>
      </w:r>
    </w:p>
    <w:p w14:paraId="011AB44D">
      <w:pPr>
        <w:pStyle w:val="5"/>
      </w:pPr>
      <w:bookmarkStart w:id="17" w:name="_Toc732972408"/>
      <w:r>
        <w:rPr>
          <w:rFonts w:ascii="黑体" w:hAnsi="黑体" w:eastAsia="黑体"/>
          <w:color w:val="000000"/>
          <w:sz w:val="24"/>
        </w:rPr>
        <w:t>2.3.4 构建工具与HTTP客户端</w:t>
      </w:r>
      <w:bookmarkEnd w:id="17"/>
    </w:p>
    <w:p w14:paraId="3FC86F72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构建工具使用Vite，它利用ESM（ES Modules）实现极速的冷启动和热更新。HTTP客户端使用Axios，基于Promise的HTTP客户端，支持请求/响应拦截器，用于统一添加认证Token、处理错误响应等。</w:t>
      </w:r>
    </w:p>
    <w:p w14:paraId="7AA3D60A">
      <w:pPr>
        <w:pStyle w:val="4"/>
      </w:pPr>
      <w:bookmarkStart w:id="18" w:name="_Toc1101062064"/>
      <w:r>
        <w:rPr>
          <w:rFonts w:ascii="黑体" w:hAnsi="黑体" w:eastAsia="黑体"/>
          <w:color w:val="000000"/>
          <w:sz w:val="28"/>
        </w:rPr>
        <w:t>2.4 工程体系</w:t>
      </w:r>
      <w:bookmarkEnd w:id="18"/>
    </w:p>
    <w:p w14:paraId="0BF38A4E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项目采用pnpm monorepo管理模式，工作区定义在pnpm-workspace.yaml中。整个项目划分为三个核心包：</w:t>
      </w:r>
    </w:p>
    <w:p w14:paraId="519E09D8">
      <w:pPr>
        <w:pStyle w:val="16"/>
        <w:spacing w:line="360" w:lineRule="auto"/>
      </w:pPr>
      <w:r>
        <w:rPr>
          <w:rFonts w:ascii="宋体" w:hAnsi="宋体" w:eastAsia="宋体"/>
          <w:sz w:val="22"/>
        </w:rPr>
        <w:t>packages/contracts（@cec/contracts）：共享类型定义，包含API请求/响应结构、数据库实体类型、枚举常量等。前后端均依赖此包，确保接口契约的一致性和类型安全。</w:t>
      </w:r>
    </w:p>
    <w:p w14:paraId="725E1011">
      <w:pPr>
        <w:pStyle w:val="16"/>
        <w:spacing w:line="360" w:lineRule="auto"/>
      </w:pPr>
      <w:r>
        <w:rPr>
          <w:rFonts w:ascii="宋体" w:hAnsi="宋体" w:eastAsia="宋体"/>
          <w:sz w:val="22"/>
        </w:rPr>
        <w:t>apps/backend（@cec/backend）：后端应用，包含完整的API服务实现。</w:t>
      </w:r>
    </w:p>
    <w:p w14:paraId="087C6BCA">
      <w:pPr>
        <w:pStyle w:val="16"/>
        <w:spacing w:line="360" w:lineRule="auto"/>
      </w:pPr>
      <w:r>
        <w:rPr>
          <w:rFonts w:ascii="宋体" w:hAnsi="宋体" w:eastAsia="宋体"/>
          <w:sz w:val="22"/>
        </w:rPr>
        <w:t>apps/frontend（@cec/frontend）：前端应用，包含完整的用户界面实现。</w:t>
      </w:r>
    </w:p>
    <w:p w14:paraId="76109420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此外，项目还可能包含packages/shared（@cec/shared）包，用于存放前端使用的共享工具函数，如数据格式化、校验规则等。</w:t>
      </w:r>
    </w:p>
    <w:p w14:paraId="0BA51A06">
      <w:pPr>
        <w:pStyle w:val="4"/>
      </w:pPr>
      <w:bookmarkStart w:id="19" w:name="_Toc683523449"/>
      <w:r>
        <w:rPr>
          <w:rFonts w:ascii="黑体" w:hAnsi="黑体" w:eastAsia="黑体"/>
          <w:color w:val="000000"/>
          <w:sz w:val="28"/>
        </w:rPr>
        <w:t>2.5 选型理由</w:t>
      </w:r>
      <w:bookmarkEnd w:id="1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37834091">
        <w:trPr>
          <w:jc w:val="center"/>
        </w:trPr>
        <w:tc>
          <w:tcPr>
            <w:tcW w:w="4323" w:type="dxa"/>
            <w:shd w:val="clear" w:color="auto" w:fill="D9E2F3"/>
          </w:tcPr>
          <w:p w14:paraId="7DAFDBC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技术</w:t>
            </w:r>
          </w:p>
        </w:tc>
        <w:tc>
          <w:tcPr>
            <w:tcW w:w="4323" w:type="dxa"/>
            <w:shd w:val="clear" w:color="auto" w:fill="D9E2F3"/>
          </w:tcPr>
          <w:p w14:paraId="604B867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选型理由</w:t>
            </w:r>
          </w:p>
        </w:tc>
      </w:tr>
      <w:tr w14:paraId="72E372A3">
        <w:trPr>
          <w:jc w:val="center"/>
        </w:trPr>
        <w:tc>
          <w:tcPr>
            <w:tcW w:w="4323" w:type="dxa"/>
          </w:tcPr>
          <w:p w14:paraId="0015EA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Node.js + Express</w:t>
            </w:r>
          </w:p>
        </w:tc>
        <w:tc>
          <w:tcPr>
            <w:tcW w:w="4323" w:type="dxa"/>
          </w:tcPr>
          <w:p w14:paraId="191D09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团队技术栈匹配，Express生态成熟，中间件机制灵活，适合构建RESTful API服务</w:t>
            </w:r>
          </w:p>
        </w:tc>
      </w:tr>
      <w:tr w14:paraId="5010DB8B">
        <w:trPr>
          <w:jc w:val="center"/>
        </w:trPr>
        <w:tc>
          <w:tcPr>
            <w:tcW w:w="4323" w:type="dxa"/>
          </w:tcPr>
          <w:p w14:paraId="5F7D967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TypeScript</w:t>
            </w:r>
          </w:p>
        </w:tc>
        <w:tc>
          <w:tcPr>
            <w:tcW w:w="4323" w:type="dxa"/>
          </w:tcPr>
          <w:p w14:paraId="2807E52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提供静态类型检查，减少运行时错误，增强代码可维护性和可读性</w:t>
            </w:r>
          </w:p>
        </w:tc>
      </w:tr>
      <w:tr w14:paraId="0BD9FBE8">
        <w:trPr>
          <w:jc w:val="center"/>
        </w:trPr>
        <w:tc>
          <w:tcPr>
            <w:tcW w:w="4323" w:type="dxa"/>
          </w:tcPr>
          <w:p w14:paraId="167279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Vue 3 + Composition API</w:t>
            </w:r>
          </w:p>
        </w:tc>
        <w:tc>
          <w:tcPr>
            <w:tcW w:w="4323" w:type="dxa"/>
          </w:tcPr>
          <w:p w14:paraId="53DDE5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响应式数据绑定，Composition API利于逻辑复用，社区活跃，学习成本低</w:t>
            </w:r>
          </w:p>
        </w:tc>
      </w:tr>
      <w:tr w14:paraId="2E75D9D9">
        <w:trPr>
          <w:jc w:val="center"/>
        </w:trPr>
        <w:tc>
          <w:tcPr>
            <w:tcW w:w="4323" w:type="dxa"/>
          </w:tcPr>
          <w:p w14:paraId="1F6268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Element Plus</w:t>
            </w:r>
          </w:p>
        </w:tc>
        <w:tc>
          <w:tcPr>
            <w:tcW w:w="4323" w:type="dxa"/>
          </w:tcPr>
          <w:p w14:paraId="2FBB282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企业级UI组件库，与Vue 3深度集成，组件丰富，文档完善</w:t>
            </w:r>
          </w:p>
        </w:tc>
      </w:tr>
      <w:tr w14:paraId="2B41ADA6">
        <w:trPr>
          <w:jc w:val="center"/>
        </w:trPr>
        <w:tc>
          <w:tcPr>
            <w:tcW w:w="4323" w:type="dxa"/>
          </w:tcPr>
          <w:p w14:paraId="188E55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PostgreSQL</w:t>
            </w:r>
          </w:p>
        </w:tc>
        <w:tc>
          <w:tcPr>
            <w:tcW w:w="4323" w:type="dxa"/>
          </w:tcPr>
          <w:p w14:paraId="1D2A08D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成熟的关系型数据库，支持Schema级隔离，支持JSON查询，性能优越</w:t>
            </w:r>
          </w:p>
        </w:tc>
      </w:tr>
      <w:tr w14:paraId="061CB9D2">
        <w:trPr>
          <w:jc w:val="center"/>
        </w:trPr>
        <w:tc>
          <w:tcPr>
            <w:tcW w:w="4323" w:type="dxa"/>
          </w:tcPr>
          <w:p w14:paraId="3B136B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pg原生驱动</w:t>
            </w:r>
          </w:p>
        </w:tc>
        <w:tc>
          <w:tcPr>
            <w:tcW w:w="4323" w:type="dxa"/>
          </w:tcPr>
          <w:p w14:paraId="33ACB1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轻量无额外依赖，完全控制SQL执行，避免ORM的隐式行为和性能损耗</w:t>
            </w:r>
          </w:p>
        </w:tc>
      </w:tr>
      <w:tr w14:paraId="0D3ABA71">
        <w:trPr>
          <w:jc w:val="center"/>
        </w:trPr>
        <w:tc>
          <w:tcPr>
            <w:tcW w:w="4323" w:type="dxa"/>
          </w:tcPr>
          <w:p w14:paraId="73DDE81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ECharts 6</w:t>
            </w:r>
          </w:p>
        </w:tc>
        <w:tc>
          <w:tcPr>
            <w:tcW w:w="4323" w:type="dxa"/>
          </w:tcPr>
          <w:p w14:paraId="2ACC073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功能强大的数据可视化库，图表类型丰富，支持大数据量渲染</w:t>
            </w:r>
          </w:p>
        </w:tc>
      </w:tr>
      <w:tr w14:paraId="53A2E40F">
        <w:trPr>
          <w:jc w:val="center"/>
        </w:trPr>
        <w:tc>
          <w:tcPr>
            <w:tcW w:w="4323" w:type="dxa"/>
          </w:tcPr>
          <w:p w14:paraId="59ACD1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pnpm + monorepo</w:t>
            </w:r>
          </w:p>
        </w:tc>
        <w:tc>
          <w:tcPr>
            <w:tcW w:w="4323" w:type="dxa"/>
          </w:tcPr>
          <w:p w14:paraId="5F5122B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依赖管理高效，workspace协议简化本地包引用，节省磁盘空间</w:t>
            </w:r>
          </w:p>
        </w:tc>
      </w:tr>
      <w:tr w14:paraId="521FF50B">
        <w:trPr>
          <w:jc w:val="center"/>
        </w:trPr>
        <w:tc>
          <w:tcPr>
            <w:tcW w:w="4323" w:type="dxa"/>
          </w:tcPr>
          <w:p w14:paraId="41C5AC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Vite</w:t>
            </w:r>
          </w:p>
        </w:tc>
        <w:tc>
          <w:tcPr>
            <w:tcW w:w="4323" w:type="dxa"/>
          </w:tcPr>
          <w:p w14:paraId="7BF96B9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开发服务器启动快速，热更新高效，构建配置简洁</w:t>
            </w:r>
          </w:p>
        </w:tc>
      </w:tr>
    </w:tbl>
    <w:p w14:paraId="4D9EBFA1"/>
    <w:p w14:paraId="40B63DA6">
      <w:pPr>
        <w:pStyle w:val="3"/>
      </w:pPr>
      <w:bookmarkStart w:id="20" w:name="_Toc1088579540"/>
      <w:r>
        <w:rPr>
          <w:rFonts w:ascii="黑体" w:hAnsi="黑体" w:eastAsia="黑体"/>
          <w:color w:val="000000"/>
          <w:sz w:val="32"/>
        </w:rPr>
        <w:t>3. 系统模块划分</w:t>
      </w:r>
      <w:bookmarkEnd w:id="20"/>
    </w:p>
    <w:p w14:paraId="0ED84690">
      <w:pPr>
        <w:pStyle w:val="4"/>
      </w:pPr>
      <w:bookmarkStart w:id="21" w:name="_Toc1343139987"/>
      <w:r>
        <w:rPr>
          <w:rFonts w:ascii="黑体" w:hAnsi="黑体" w:eastAsia="黑体"/>
          <w:color w:val="000000"/>
          <w:sz w:val="28"/>
        </w:rPr>
        <w:t>3.1 模块总览</w:t>
      </w:r>
      <w:bookmarkEnd w:id="2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783426BF">
        <w:trPr>
          <w:jc w:val="center"/>
        </w:trPr>
        <w:tc>
          <w:tcPr>
            <w:tcW w:w="2882" w:type="dxa"/>
            <w:shd w:val="clear" w:color="auto" w:fill="D9E2F3"/>
          </w:tcPr>
          <w:p w14:paraId="760FE1C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模块名称</w:t>
            </w:r>
          </w:p>
        </w:tc>
        <w:tc>
          <w:tcPr>
            <w:tcW w:w="2882" w:type="dxa"/>
            <w:shd w:val="clear" w:color="auto" w:fill="D9E2F3"/>
          </w:tcPr>
          <w:p w14:paraId="454E60F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模块编码</w:t>
            </w:r>
          </w:p>
        </w:tc>
        <w:tc>
          <w:tcPr>
            <w:tcW w:w="2882" w:type="dxa"/>
            <w:shd w:val="clear" w:color="auto" w:fill="D9E2F3"/>
          </w:tcPr>
          <w:p w14:paraId="6CC98E6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6A4CFC9F">
        <w:trPr>
          <w:jc w:val="center"/>
        </w:trPr>
        <w:tc>
          <w:tcPr>
            <w:tcW w:w="2882" w:type="dxa"/>
          </w:tcPr>
          <w:p w14:paraId="29B03B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认证管理</w:t>
            </w:r>
          </w:p>
        </w:tc>
        <w:tc>
          <w:tcPr>
            <w:tcW w:w="2882" w:type="dxa"/>
          </w:tcPr>
          <w:p w14:paraId="72AAA2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auth</w:t>
            </w:r>
          </w:p>
        </w:tc>
        <w:tc>
          <w:tcPr>
            <w:tcW w:w="2882" w:type="dxa"/>
          </w:tcPr>
          <w:p w14:paraId="18B92E0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用户登录、JWT令牌发放与验证、密码管理</w:t>
            </w:r>
          </w:p>
        </w:tc>
      </w:tr>
      <w:tr w14:paraId="5F331C4B">
        <w:trPr>
          <w:jc w:val="center"/>
        </w:trPr>
        <w:tc>
          <w:tcPr>
            <w:tcW w:w="2882" w:type="dxa"/>
          </w:tcPr>
          <w:p w14:paraId="22905AB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编码生成</w:t>
            </w:r>
          </w:p>
        </w:tc>
        <w:tc>
          <w:tcPr>
            <w:tcW w:w="2882" w:type="dxa"/>
          </w:tcPr>
          <w:p w14:paraId="3489945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code-generation</w:t>
            </w:r>
          </w:p>
        </w:tc>
        <w:tc>
          <w:tcPr>
            <w:tcW w:w="2882" w:type="dxa"/>
          </w:tcPr>
          <w:p w14:paraId="10FDA9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编码规则配置、单测点手动编码生成</w:t>
            </w:r>
          </w:p>
        </w:tc>
      </w:tr>
      <w:tr w14:paraId="31A91784">
        <w:trPr>
          <w:jc w:val="center"/>
        </w:trPr>
        <w:tc>
          <w:tcPr>
            <w:tcW w:w="2882" w:type="dxa"/>
          </w:tcPr>
          <w:p w14:paraId="468CB87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自动编码</w:t>
            </w:r>
          </w:p>
        </w:tc>
        <w:tc>
          <w:tcPr>
            <w:tcW w:w="2882" w:type="dxa"/>
          </w:tcPr>
          <w:p w14:paraId="73A23A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auto-code</w:t>
            </w:r>
          </w:p>
        </w:tc>
        <w:tc>
          <w:tcPr>
            <w:tcW w:w="2882" w:type="dxa"/>
          </w:tcPr>
          <w:p w14:paraId="7D8394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批量自动编码、Excel导入自动编码</w:t>
            </w:r>
          </w:p>
        </w:tc>
      </w:tr>
      <w:tr w14:paraId="117964E8">
        <w:trPr>
          <w:jc w:val="center"/>
        </w:trPr>
        <w:tc>
          <w:tcPr>
            <w:tcW w:w="2882" w:type="dxa"/>
          </w:tcPr>
          <w:p w14:paraId="6495F61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编码校验</w:t>
            </w:r>
          </w:p>
        </w:tc>
        <w:tc>
          <w:tcPr>
            <w:tcW w:w="2882" w:type="dxa"/>
          </w:tcPr>
          <w:p w14:paraId="61268F4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code-validation</w:t>
            </w:r>
          </w:p>
        </w:tc>
        <w:tc>
          <w:tcPr>
            <w:tcW w:w="2882" w:type="dxa"/>
          </w:tcPr>
          <w:p w14:paraId="286B47B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编码唯一性校验、格式校验、规则校验</w:t>
            </w:r>
          </w:p>
        </w:tc>
      </w:tr>
      <w:tr w14:paraId="52AD6542">
        <w:trPr>
          <w:jc w:val="center"/>
        </w:trPr>
        <w:tc>
          <w:tcPr>
            <w:tcW w:w="2882" w:type="dxa"/>
          </w:tcPr>
          <w:p w14:paraId="5E5D5B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字典管理</w:t>
            </w:r>
          </w:p>
        </w:tc>
        <w:tc>
          <w:tcPr>
            <w:tcW w:w="2882" w:type="dxa"/>
          </w:tcPr>
          <w:p w14:paraId="000EC81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dict</w:t>
            </w:r>
          </w:p>
        </w:tc>
        <w:tc>
          <w:tcPr>
            <w:tcW w:w="2882" w:type="dxa"/>
          </w:tcPr>
          <w:p w14:paraId="678B2CD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新能源测点字典项管理（CRUD）</w:t>
            </w:r>
          </w:p>
        </w:tc>
      </w:tr>
      <w:tr w14:paraId="50FFB2C4">
        <w:trPr>
          <w:jc w:val="center"/>
        </w:trPr>
        <w:tc>
          <w:tcPr>
            <w:tcW w:w="2882" w:type="dxa"/>
          </w:tcPr>
          <w:p w14:paraId="0FFECC8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字典审批</w:t>
            </w:r>
          </w:p>
        </w:tc>
        <w:tc>
          <w:tcPr>
            <w:tcW w:w="2882" w:type="dxa"/>
          </w:tcPr>
          <w:p w14:paraId="343E5B7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approval</w:t>
            </w:r>
          </w:p>
        </w:tc>
        <w:tc>
          <w:tcPr>
            <w:tcW w:w="2882" w:type="dxa"/>
          </w:tcPr>
          <w:p w14:paraId="75C8B9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字典变更提交流审批流程、审批通过后入库</w:t>
            </w:r>
          </w:p>
        </w:tc>
      </w:tr>
      <w:tr w14:paraId="3E875EF1">
        <w:trPr>
          <w:jc w:val="center"/>
        </w:trPr>
        <w:tc>
          <w:tcPr>
            <w:tcW w:w="2882" w:type="dxa"/>
          </w:tcPr>
          <w:p w14:paraId="44BFE4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场站管理</w:t>
            </w:r>
          </w:p>
        </w:tc>
        <w:tc>
          <w:tcPr>
            <w:tcW w:w="2882" w:type="dxa"/>
          </w:tcPr>
          <w:p w14:paraId="6B38ED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station</w:t>
            </w:r>
          </w:p>
        </w:tc>
        <w:tc>
          <w:tcPr>
            <w:tcW w:w="2882" w:type="dxa"/>
          </w:tcPr>
          <w:p w14:paraId="391496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风电场、光伏站等场站信息管理</w:t>
            </w:r>
          </w:p>
        </w:tc>
      </w:tr>
      <w:tr w14:paraId="0768AC4F">
        <w:trPr>
          <w:jc w:val="center"/>
        </w:trPr>
        <w:tc>
          <w:tcPr>
            <w:tcW w:w="2882" w:type="dxa"/>
          </w:tcPr>
          <w:p w14:paraId="16DD56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统计分析</w:t>
            </w:r>
          </w:p>
        </w:tc>
        <w:tc>
          <w:tcPr>
            <w:tcW w:w="2882" w:type="dxa"/>
          </w:tcPr>
          <w:p w14:paraId="4327E31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statistics</w:t>
            </w:r>
          </w:p>
        </w:tc>
        <w:tc>
          <w:tcPr>
            <w:tcW w:w="2882" w:type="dxa"/>
          </w:tcPr>
          <w:p w14:paraId="76C0B29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编码使用情况统计、趋势分析、图表展示</w:t>
            </w:r>
          </w:p>
        </w:tc>
      </w:tr>
      <w:tr w14:paraId="710F4AAC">
        <w:trPr>
          <w:jc w:val="center"/>
        </w:trPr>
        <w:tc>
          <w:tcPr>
            <w:tcW w:w="2882" w:type="dxa"/>
          </w:tcPr>
          <w:p w14:paraId="2995A1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时序规则</w:t>
            </w:r>
          </w:p>
        </w:tc>
        <w:tc>
          <w:tcPr>
            <w:tcW w:w="2882" w:type="dxa"/>
          </w:tcPr>
          <w:p w14:paraId="1E1A43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tsr</w:t>
            </w:r>
          </w:p>
        </w:tc>
        <w:tc>
          <w:tcPr>
            <w:tcW w:w="2882" w:type="dxa"/>
          </w:tcPr>
          <w:p w14:paraId="657CB5B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时序规则（Time Series Rules）管理</w:t>
            </w:r>
          </w:p>
        </w:tc>
      </w:tr>
      <w:tr w14:paraId="43D16781">
        <w:trPr>
          <w:jc w:val="center"/>
        </w:trPr>
        <w:tc>
          <w:tcPr>
            <w:tcW w:w="2882" w:type="dxa"/>
          </w:tcPr>
          <w:p w14:paraId="6DC98C9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数据源管理</w:t>
            </w:r>
          </w:p>
        </w:tc>
        <w:tc>
          <w:tcPr>
            <w:tcW w:w="2882" w:type="dxa"/>
          </w:tcPr>
          <w:p w14:paraId="02B5AE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datasource</w:t>
            </w:r>
          </w:p>
        </w:tc>
        <w:tc>
          <w:tcPr>
            <w:tcW w:w="2882" w:type="dxa"/>
          </w:tcPr>
          <w:p w14:paraId="20E9AD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外部数据源连接管理、数据同步配置</w:t>
            </w:r>
          </w:p>
        </w:tc>
      </w:tr>
    </w:tbl>
    <w:p w14:paraId="275EA254"/>
    <w:p w14:paraId="3D3630F7">
      <w:pPr>
        <w:pStyle w:val="4"/>
      </w:pPr>
      <w:bookmarkStart w:id="22" w:name="_Toc1953147892"/>
      <w:r>
        <w:rPr>
          <w:rFonts w:ascii="黑体" w:hAnsi="黑体" w:eastAsia="黑体"/>
          <w:color w:val="000000"/>
          <w:sz w:val="28"/>
        </w:rPr>
        <w:t>3.2 模块职责说明</w:t>
      </w:r>
      <w:bookmarkEnd w:id="22"/>
    </w:p>
    <w:p w14:paraId="6506A650">
      <w:pPr>
        <w:pStyle w:val="5"/>
      </w:pPr>
      <w:bookmarkStart w:id="23" w:name="_Toc121592802"/>
      <w:r>
        <w:rPr>
          <w:rFonts w:ascii="黑体" w:hAnsi="黑体" w:eastAsia="黑体"/>
          <w:color w:val="000000"/>
          <w:sz w:val="24"/>
        </w:rPr>
        <w:t>3.2.1 auth模块</w:t>
      </w:r>
      <w:bookmarkEnd w:id="2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262A7DCC">
        <w:trPr>
          <w:jc w:val="center"/>
        </w:trPr>
        <w:tc>
          <w:tcPr>
            <w:tcW w:w="4323" w:type="dxa"/>
            <w:shd w:val="clear" w:color="auto" w:fill="D9E2F3"/>
          </w:tcPr>
          <w:p w14:paraId="68E037B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6D37EBE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3ABEA562">
        <w:trPr>
          <w:jc w:val="center"/>
        </w:trPr>
        <w:tc>
          <w:tcPr>
            <w:tcW w:w="4323" w:type="dxa"/>
          </w:tcPr>
          <w:p w14:paraId="756C4F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692B0A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auth</w:t>
            </w:r>
          </w:p>
        </w:tc>
      </w:tr>
      <w:tr w14:paraId="67F221A2">
        <w:trPr>
          <w:jc w:val="center"/>
        </w:trPr>
        <w:tc>
          <w:tcPr>
            <w:tcW w:w="4323" w:type="dxa"/>
          </w:tcPr>
          <w:p w14:paraId="70F99C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0026F6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apps/backend/src/modules/auth</w:t>
            </w:r>
          </w:p>
        </w:tc>
      </w:tr>
      <w:tr w14:paraId="2D1B5670">
        <w:trPr>
          <w:jc w:val="center"/>
        </w:trPr>
        <w:tc>
          <w:tcPr>
            <w:tcW w:w="4323" w:type="dxa"/>
          </w:tcPr>
          <w:p w14:paraId="3B31BF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3639305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负责用户身份认证。Controller提供登录、退出、令牌刷新接口；Service处理认证逻辑、密码加密验证；Domain封装用户实体和认证规则。</w:t>
            </w:r>
          </w:p>
        </w:tc>
      </w:tr>
    </w:tbl>
    <w:p w14:paraId="2191836E"/>
    <w:p w14:paraId="59BCCF86">
      <w:pPr>
        <w:pStyle w:val="5"/>
      </w:pPr>
      <w:bookmarkStart w:id="24" w:name="_Toc1353274917"/>
      <w:r>
        <w:rPr>
          <w:rFonts w:ascii="黑体" w:hAnsi="黑体" w:eastAsia="黑体"/>
          <w:color w:val="000000"/>
          <w:sz w:val="24"/>
        </w:rPr>
        <w:t>3.2.2 code-generation模块</w:t>
      </w:r>
      <w:bookmarkEnd w:id="2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7998E08E">
        <w:trPr>
          <w:jc w:val="center"/>
        </w:trPr>
        <w:tc>
          <w:tcPr>
            <w:tcW w:w="4323" w:type="dxa"/>
            <w:shd w:val="clear" w:color="auto" w:fill="D9E2F3"/>
          </w:tcPr>
          <w:p w14:paraId="21EEE54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7A72081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7B9054AF">
        <w:trPr>
          <w:jc w:val="center"/>
        </w:trPr>
        <w:tc>
          <w:tcPr>
            <w:tcW w:w="4323" w:type="dxa"/>
          </w:tcPr>
          <w:p w14:paraId="7E5938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432D03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code-generation</w:t>
            </w:r>
          </w:p>
        </w:tc>
      </w:tr>
      <w:tr w14:paraId="6A052B4B">
        <w:trPr>
          <w:jc w:val="center"/>
        </w:trPr>
        <w:tc>
          <w:tcPr>
            <w:tcW w:w="4323" w:type="dxa"/>
          </w:tcPr>
          <w:p w14:paraId="2714CD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450FFC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apps/backend/src/modules/code-generation</w:t>
            </w:r>
          </w:p>
        </w:tc>
      </w:tr>
      <w:tr w14:paraId="68DA5CFF">
        <w:trPr>
          <w:jc w:val="center"/>
        </w:trPr>
        <w:tc>
          <w:tcPr>
            <w:tcW w:w="4323" w:type="dxa"/>
          </w:tcPr>
          <w:p w14:paraId="4BA0AB0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3582FA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负责编码规则的配置和单测点手动编码生成。Controller提供规则元数据CRUD和编码生成接口；Service协调规则验证与编码生成流程；Domain封装编码规则、编码算法等核心业务逻辑。</w:t>
            </w:r>
          </w:p>
        </w:tc>
      </w:tr>
    </w:tbl>
    <w:p w14:paraId="3814767B"/>
    <w:p w14:paraId="758A775F">
      <w:pPr>
        <w:pStyle w:val="5"/>
      </w:pPr>
      <w:bookmarkStart w:id="25" w:name="_Toc492224642"/>
      <w:r>
        <w:rPr>
          <w:rFonts w:ascii="黑体" w:hAnsi="黑体" w:eastAsia="黑体"/>
          <w:color w:val="000000"/>
          <w:sz w:val="24"/>
        </w:rPr>
        <w:t>3.2.3 auto-code模块</w:t>
      </w:r>
      <w:bookmarkEnd w:id="2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3158BA3D">
        <w:trPr>
          <w:jc w:val="center"/>
        </w:trPr>
        <w:tc>
          <w:tcPr>
            <w:tcW w:w="4323" w:type="dxa"/>
            <w:shd w:val="clear" w:color="auto" w:fill="D9E2F3"/>
          </w:tcPr>
          <w:p w14:paraId="1F6CBA7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3C00368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7EAF2A1B">
        <w:trPr>
          <w:jc w:val="center"/>
        </w:trPr>
        <w:tc>
          <w:tcPr>
            <w:tcW w:w="4323" w:type="dxa"/>
          </w:tcPr>
          <w:p w14:paraId="291525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5696CC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auto-code</w:t>
            </w:r>
          </w:p>
        </w:tc>
      </w:tr>
      <w:tr w14:paraId="71F4527F">
        <w:trPr>
          <w:jc w:val="center"/>
        </w:trPr>
        <w:tc>
          <w:tcPr>
            <w:tcW w:w="4323" w:type="dxa"/>
          </w:tcPr>
          <w:p w14:paraId="256AFF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759659F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apps/backend/src/modules/auto-code</w:t>
            </w:r>
          </w:p>
        </w:tc>
      </w:tr>
      <w:tr w14:paraId="5FF93D80">
        <w:trPr>
          <w:jc w:val="center"/>
        </w:trPr>
        <w:tc>
          <w:tcPr>
            <w:tcW w:w="4323" w:type="dxa"/>
          </w:tcPr>
          <w:p w14:paraId="31AD3C7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00BA510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负责批量自动编码功能。Controller提供批量导入和批量生成接口；Service处理Excel解析、批量事务管理；Domain封装批量编码算法、数据校验规则。</w:t>
            </w:r>
          </w:p>
        </w:tc>
      </w:tr>
    </w:tbl>
    <w:p w14:paraId="0B69CF4F"/>
    <w:p w14:paraId="068AD587">
      <w:pPr>
        <w:pStyle w:val="5"/>
      </w:pPr>
      <w:bookmarkStart w:id="26" w:name="_Toc712549850"/>
      <w:r>
        <w:rPr>
          <w:rFonts w:ascii="黑体" w:hAnsi="黑体" w:eastAsia="黑体"/>
          <w:color w:val="000000"/>
          <w:sz w:val="24"/>
        </w:rPr>
        <w:t>3.2.4 code-validation模块</w:t>
      </w:r>
      <w:bookmarkEnd w:id="2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6535C129">
        <w:trPr>
          <w:jc w:val="center"/>
        </w:trPr>
        <w:tc>
          <w:tcPr>
            <w:tcW w:w="4323" w:type="dxa"/>
            <w:shd w:val="clear" w:color="auto" w:fill="D9E2F3"/>
          </w:tcPr>
          <w:p w14:paraId="2A63B49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56CE82E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7FB48D42">
        <w:trPr>
          <w:jc w:val="center"/>
        </w:trPr>
        <w:tc>
          <w:tcPr>
            <w:tcW w:w="4323" w:type="dxa"/>
          </w:tcPr>
          <w:p w14:paraId="09D6196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3B1919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code-validation</w:t>
            </w:r>
          </w:p>
        </w:tc>
      </w:tr>
      <w:tr w14:paraId="2F5003BA">
        <w:trPr>
          <w:jc w:val="center"/>
        </w:trPr>
        <w:tc>
          <w:tcPr>
            <w:tcW w:w="4323" w:type="dxa"/>
          </w:tcPr>
          <w:p w14:paraId="03B88D6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4613FE6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apps/backend/src/modules/code-validation</w:t>
            </w:r>
          </w:p>
        </w:tc>
      </w:tr>
      <w:tr w14:paraId="51B9539A">
        <w:trPr>
          <w:jc w:val="center"/>
        </w:trPr>
        <w:tc>
          <w:tcPr>
            <w:tcW w:w="4323" w:type="dxa"/>
          </w:tcPr>
          <w:p w14:paraId="73BF4C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578FA5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负责编码的各类校验。Controller提供校验接口；Service协调各项校验的执行顺序；Domain封装唯一性校验、格式校验、规则匹配等具体的校验逻辑。</w:t>
            </w:r>
          </w:p>
        </w:tc>
      </w:tr>
    </w:tbl>
    <w:p w14:paraId="0F212397"/>
    <w:p w14:paraId="72F0D5E1">
      <w:pPr>
        <w:pStyle w:val="5"/>
      </w:pPr>
      <w:bookmarkStart w:id="27" w:name="_Toc1456513278"/>
      <w:r>
        <w:rPr>
          <w:rFonts w:ascii="黑体" w:hAnsi="黑体" w:eastAsia="黑体"/>
          <w:color w:val="000000"/>
          <w:sz w:val="24"/>
        </w:rPr>
        <w:t>3.2.5 dict模块</w:t>
      </w:r>
      <w:bookmarkEnd w:id="2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0084AF51">
        <w:trPr>
          <w:jc w:val="center"/>
        </w:trPr>
        <w:tc>
          <w:tcPr>
            <w:tcW w:w="4323" w:type="dxa"/>
            <w:shd w:val="clear" w:color="auto" w:fill="D9E2F3"/>
          </w:tcPr>
          <w:p w14:paraId="03E1A39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7B49C36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480FDC9E">
        <w:trPr>
          <w:jc w:val="center"/>
        </w:trPr>
        <w:tc>
          <w:tcPr>
            <w:tcW w:w="4323" w:type="dxa"/>
          </w:tcPr>
          <w:p w14:paraId="34DDFB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6E3D69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dict</w:t>
            </w:r>
          </w:p>
        </w:tc>
      </w:tr>
      <w:tr w14:paraId="00EC2C8A">
        <w:trPr>
          <w:jc w:val="center"/>
        </w:trPr>
        <w:tc>
          <w:tcPr>
            <w:tcW w:w="4323" w:type="dxa"/>
          </w:tcPr>
          <w:p w14:paraId="18CE111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6F03B7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apps/backend/src/modules/dict</w:t>
            </w:r>
          </w:p>
        </w:tc>
      </w:tr>
      <w:tr w14:paraId="73741674">
        <w:trPr>
          <w:jc w:val="center"/>
        </w:trPr>
        <w:tc>
          <w:tcPr>
            <w:tcW w:w="4323" w:type="dxa"/>
          </w:tcPr>
          <w:p w14:paraId="1948E1F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43B0F8D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负责字典项的管理。Controller提供字典项的增删改查接口；Service处理业务规则校验、变更记录；Domain封装字典项实体、树形结构维护等核心逻辑。</w:t>
            </w:r>
          </w:p>
        </w:tc>
      </w:tr>
    </w:tbl>
    <w:p w14:paraId="37311F9A"/>
    <w:p w14:paraId="3E43D48E">
      <w:pPr>
        <w:pStyle w:val="5"/>
      </w:pPr>
      <w:bookmarkStart w:id="28" w:name="_Toc452571193"/>
      <w:r>
        <w:rPr>
          <w:rFonts w:ascii="黑体" w:hAnsi="黑体" w:eastAsia="黑体"/>
          <w:color w:val="000000"/>
          <w:sz w:val="24"/>
        </w:rPr>
        <w:t>3.2.6 approval模块</w:t>
      </w:r>
      <w:bookmarkEnd w:id="2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246380E7">
        <w:trPr>
          <w:jc w:val="center"/>
        </w:trPr>
        <w:tc>
          <w:tcPr>
            <w:tcW w:w="4323" w:type="dxa"/>
            <w:shd w:val="clear" w:color="auto" w:fill="D9E2F3"/>
          </w:tcPr>
          <w:p w14:paraId="7C50A0B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1B00726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4D44796A">
        <w:trPr>
          <w:jc w:val="center"/>
        </w:trPr>
        <w:tc>
          <w:tcPr>
            <w:tcW w:w="4323" w:type="dxa"/>
          </w:tcPr>
          <w:p w14:paraId="31C754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3ADFEB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approval</w:t>
            </w:r>
          </w:p>
        </w:tc>
      </w:tr>
      <w:tr w14:paraId="64031E40">
        <w:trPr>
          <w:jc w:val="center"/>
        </w:trPr>
        <w:tc>
          <w:tcPr>
            <w:tcW w:w="4323" w:type="dxa"/>
          </w:tcPr>
          <w:p w14:paraId="307521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27F8CB3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apps/backend/src/modules/approval</w:t>
            </w:r>
          </w:p>
        </w:tc>
      </w:tr>
      <w:tr w14:paraId="3A99F04D">
        <w:trPr>
          <w:jc w:val="center"/>
        </w:trPr>
        <w:tc>
          <w:tcPr>
            <w:tcW w:w="4323" w:type="dxa"/>
          </w:tcPr>
          <w:p w14:paraId="4DF4D5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7BB19F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负责字典变更的审批流管理。Controller提供提交审批、审批操作接口；Service处理审批流转逻辑、状态变更；Domain封装审批实体、审批规则。</w:t>
            </w:r>
          </w:p>
        </w:tc>
      </w:tr>
    </w:tbl>
    <w:p w14:paraId="6C291C7C"/>
    <w:p w14:paraId="270B2E76">
      <w:pPr>
        <w:pStyle w:val="5"/>
      </w:pPr>
      <w:bookmarkStart w:id="29" w:name="_Toc2124446724"/>
      <w:r>
        <w:rPr>
          <w:rFonts w:ascii="黑体" w:hAnsi="黑体" w:eastAsia="黑体"/>
          <w:color w:val="000000"/>
          <w:sz w:val="24"/>
        </w:rPr>
        <w:t>3.2.7 station模块</w:t>
      </w:r>
      <w:bookmarkEnd w:id="2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66CBCC87">
        <w:trPr>
          <w:jc w:val="center"/>
        </w:trPr>
        <w:tc>
          <w:tcPr>
            <w:tcW w:w="4323" w:type="dxa"/>
            <w:shd w:val="clear" w:color="auto" w:fill="D9E2F3"/>
          </w:tcPr>
          <w:p w14:paraId="092C5AA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13FD617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041282F3">
        <w:trPr>
          <w:jc w:val="center"/>
        </w:trPr>
        <w:tc>
          <w:tcPr>
            <w:tcW w:w="4323" w:type="dxa"/>
          </w:tcPr>
          <w:p w14:paraId="628C7BD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1C66158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station</w:t>
            </w:r>
          </w:p>
        </w:tc>
      </w:tr>
      <w:tr w14:paraId="30EF70B1">
        <w:trPr>
          <w:jc w:val="center"/>
        </w:trPr>
        <w:tc>
          <w:tcPr>
            <w:tcW w:w="4323" w:type="dxa"/>
          </w:tcPr>
          <w:p w14:paraId="75EB6D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194451D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apps/backend/src/modules/station</w:t>
            </w:r>
          </w:p>
        </w:tc>
      </w:tr>
      <w:tr w14:paraId="7FF12068">
        <w:trPr>
          <w:jc w:val="center"/>
        </w:trPr>
        <w:tc>
          <w:tcPr>
            <w:tcW w:w="4323" w:type="dxa"/>
          </w:tcPr>
          <w:p w14:paraId="6F5C12C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05C9F7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负责场站信息管理。Controller提供场站CRUD接口；Service处理场站数据维护逻辑；Domain封装场站实体、场站层级关系等业务规则。</w:t>
            </w:r>
          </w:p>
        </w:tc>
      </w:tr>
    </w:tbl>
    <w:p w14:paraId="235D6D05"/>
    <w:p w14:paraId="36A6BACF">
      <w:pPr>
        <w:pStyle w:val="5"/>
      </w:pPr>
      <w:bookmarkStart w:id="30" w:name="_Toc1512975246"/>
      <w:r>
        <w:rPr>
          <w:rFonts w:ascii="黑体" w:hAnsi="黑体" w:eastAsia="黑体"/>
          <w:color w:val="000000"/>
          <w:sz w:val="24"/>
        </w:rPr>
        <w:t>3.2.8 statistics模块</w:t>
      </w:r>
      <w:bookmarkEnd w:id="3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6CE71A77">
        <w:trPr>
          <w:jc w:val="center"/>
        </w:trPr>
        <w:tc>
          <w:tcPr>
            <w:tcW w:w="4323" w:type="dxa"/>
            <w:shd w:val="clear" w:color="auto" w:fill="D9E2F3"/>
          </w:tcPr>
          <w:p w14:paraId="48CB306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45DC6F6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4890B067">
        <w:trPr>
          <w:jc w:val="center"/>
        </w:trPr>
        <w:tc>
          <w:tcPr>
            <w:tcW w:w="4323" w:type="dxa"/>
          </w:tcPr>
          <w:p w14:paraId="7659F7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6B566E7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statistics</w:t>
            </w:r>
          </w:p>
        </w:tc>
      </w:tr>
      <w:tr w14:paraId="77B2AFD4">
        <w:trPr>
          <w:jc w:val="center"/>
        </w:trPr>
        <w:tc>
          <w:tcPr>
            <w:tcW w:w="4323" w:type="dxa"/>
          </w:tcPr>
          <w:p w14:paraId="6F2254D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279D7D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apps/backend/src/modules/statistics</w:t>
            </w:r>
          </w:p>
        </w:tc>
      </w:tr>
      <w:tr w14:paraId="14027485">
        <w:trPr>
          <w:jc w:val="center"/>
        </w:trPr>
        <w:tc>
          <w:tcPr>
            <w:tcW w:w="4323" w:type="dxa"/>
          </w:tcPr>
          <w:p w14:paraId="255C6C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306379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负责编码数据的统计分析。Controller提供统计查询接口；Service处理统计指标计算、数据聚合；Domain封装统计规则和计算逻辑。</w:t>
            </w:r>
          </w:p>
        </w:tc>
      </w:tr>
    </w:tbl>
    <w:p w14:paraId="5132E041"/>
    <w:p w14:paraId="473C0013">
      <w:pPr>
        <w:pStyle w:val="5"/>
      </w:pPr>
      <w:bookmarkStart w:id="31" w:name="_Toc221095395"/>
      <w:r>
        <w:rPr>
          <w:rFonts w:ascii="黑体" w:hAnsi="黑体" w:eastAsia="黑体"/>
          <w:color w:val="000000"/>
          <w:sz w:val="24"/>
        </w:rPr>
        <w:t>3.2.9 tsr模块</w:t>
      </w:r>
      <w:bookmarkEnd w:id="3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29BB3133">
        <w:trPr>
          <w:jc w:val="center"/>
        </w:trPr>
        <w:tc>
          <w:tcPr>
            <w:tcW w:w="4323" w:type="dxa"/>
            <w:shd w:val="clear" w:color="auto" w:fill="D9E2F3"/>
          </w:tcPr>
          <w:p w14:paraId="106DB70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0613DDE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46CBDC1C">
        <w:trPr>
          <w:jc w:val="center"/>
        </w:trPr>
        <w:tc>
          <w:tcPr>
            <w:tcW w:w="4323" w:type="dxa"/>
          </w:tcPr>
          <w:p w14:paraId="4E37798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201CEB5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tsr</w:t>
            </w:r>
          </w:p>
        </w:tc>
      </w:tr>
      <w:tr w14:paraId="4744F661">
        <w:trPr>
          <w:jc w:val="center"/>
        </w:trPr>
        <w:tc>
          <w:tcPr>
            <w:tcW w:w="4323" w:type="dxa"/>
          </w:tcPr>
          <w:p w14:paraId="61ACA8F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6B139AD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apps/backend/src/modules/tsr</w:t>
            </w:r>
          </w:p>
        </w:tc>
      </w:tr>
      <w:tr w14:paraId="3AAA200C">
        <w:trPr>
          <w:jc w:val="center"/>
        </w:trPr>
        <w:tc>
          <w:tcPr>
            <w:tcW w:w="4323" w:type="dxa"/>
          </w:tcPr>
          <w:p w14:paraId="1B1228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5C5326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负责时序规则管理。Controller提供时序规则CRUD接口；Service处理规则验证和执行逻辑；Domain封装时序规则实体和执行引擎。</w:t>
            </w:r>
          </w:p>
        </w:tc>
      </w:tr>
    </w:tbl>
    <w:p w14:paraId="7D685B87"/>
    <w:p w14:paraId="7D6386E3">
      <w:pPr>
        <w:pStyle w:val="5"/>
      </w:pPr>
      <w:bookmarkStart w:id="32" w:name="_Toc803594455"/>
      <w:r>
        <w:rPr>
          <w:rFonts w:ascii="黑体" w:hAnsi="黑体" w:eastAsia="黑体"/>
          <w:color w:val="000000"/>
          <w:sz w:val="24"/>
        </w:rPr>
        <w:t>3.2.10 datasource模块</w:t>
      </w:r>
      <w:bookmarkEnd w:id="3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67A6E6FA">
        <w:trPr>
          <w:jc w:val="center"/>
        </w:trPr>
        <w:tc>
          <w:tcPr>
            <w:tcW w:w="4323" w:type="dxa"/>
            <w:shd w:val="clear" w:color="auto" w:fill="D9E2F3"/>
          </w:tcPr>
          <w:p w14:paraId="45526B8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项目</w:t>
            </w:r>
          </w:p>
        </w:tc>
        <w:tc>
          <w:tcPr>
            <w:tcW w:w="4323" w:type="dxa"/>
            <w:shd w:val="clear" w:color="auto" w:fill="D9E2F3"/>
          </w:tcPr>
          <w:p w14:paraId="6013BD7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4B4C8736">
        <w:trPr>
          <w:jc w:val="center"/>
        </w:trPr>
        <w:tc>
          <w:tcPr>
            <w:tcW w:w="4323" w:type="dxa"/>
          </w:tcPr>
          <w:p w14:paraId="6304952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模块编码</w:t>
            </w:r>
          </w:p>
        </w:tc>
        <w:tc>
          <w:tcPr>
            <w:tcW w:w="4323" w:type="dxa"/>
          </w:tcPr>
          <w:p w14:paraId="60CD4BF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datasource</w:t>
            </w:r>
          </w:p>
        </w:tc>
      </w:tr>
      <w:tr w14:paraId="78531E2F">
        <w:trPr>
          <w:jc w:val="center"/>
        </w:trPr>
        <w:tc>
          <w:tcPr>
            <w:tcW w:w="4323" w:type="dxa"/>
          </w:tcPr>
          <w:p w14:paraId="2A70CC3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模块目录</w:t>
            </w:r>
          </w:p>
        </w:tc>
        <w:tc>
          <w:tcPr>
            <w:tcW w:w="4323" w:type="dxa"/>
          </w:tcPr>
          <w:p w14:paraId="2E3C86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apps/backend/src/modules/datasource</w:t>
            </w:r>
          </w:p>
        </w:tc>
      </w:tr>
      <w:tr w14:paraId="5084B593">
        <w:trPr>
          <w:jc w:val="center"/>
        </w:trPr>
        <w:tc>
          <w:tcPr>
            <w:tcW w:w="4323" w:type="dxa"/>
          </w:tcPr>
          <w:p w14:paraId="576093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职责描述</w:t>
            </w:r>
          </w:p>
        </w:tc>
        <w:tc>
          <w:tcPr>
            <w:tcW w:w="4323" w:type="dxa"/>
          </w:tcPr>
          <w:p w14:paraId="578F4F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负责外部数据源管理。Controller提供数据源配置CRUD和测试连接接口；Service处理数据源连接管理、数据同步调度；Domain封装数据源实体、连接配置规则。</w:t>
            </w:r>
          </w:p>
        </w:tc>
      </w:tr>
    </w:tbl>
    <w:p w14:paraId="5A871013"/>
    <w:p w14:paraId="0401ADE3">
      <w:pPr>
        <w:pStyle w:val="4"/>
      </w:pPr>
      <w:bookmarkStart w:id="33" w:name="_Toc487349202"/>
      <w:r>
        <w:rPr>
          <w:rFonts w:ascii="黑体" w:hAnsi="黑体" w:eastAsia="黑体"/>
          <w:color w:val="000000"/>
          <w:sz w:val="28"/>
        </w:rPr>
        <w:t>3.3 模块交互关系</w:t>
      </w:r>
      <w:bookmarkEnd w:id="33"/>
    </w:p>
    <w:p w14:paraId="4B9D3228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各模块之间的交互关系如下：</w:t>
      </w:r>
    </w:p>
    <w:p w14:paraId="79C11CD2">
      <w:pPr>
        <w:pStyle w:val="16"/>
        <w:spacing w:line="360" w:lineRule="auto"/>
      </w:pPr>
      <w:r>
        <w:rPr>
          <w:rFonts w:ascii="宋体" w:hAnsi="宋体" w:eastAsia="宋体"/>
          <w:sz w:val="22"/>
        </w:rPr>
        <w:t>auth模块是所有其他模块的前置依赖，其他模块的API请求均需要先通过auth模块的JWT认证中间件验证身份。</w:t>
      </w:r>
    </w:p>
    <w:p w14:paraId="241DBB5E">
      <w:pPr>
        <w:pStyle w:val="16"/>
        <w:spacing w:line="360" w:lineRule="auto"/>
      </w:pPr>
      <w:r>
        <w:rPr>
          <w:rFonts w:ascii="宋体" w:hAnsi="宋体" w:eastAsia="宋体"/>
          <w:sz w:val="22"/>
        </w:rPr>
        <w:t>dict模块是核心基础模块，code-generation、auto-code、code-validation、statistics等模块均依赖dict模块提供的字典数据。</w:t>
      </w:r>
    </w:p>
    <w:p w14:paraId="37469676">
      <w:pPr>
        <w:pStyle w:val="16"/>
        <w:spacing w:line="360" w:lineRule="auto"/>
      </w:pPr>
      <w:r>
        <w:rPr>
          <w:rFonts w:ascii="宋体" w:hAnsi="宋体" w:eastAsia="宋体"/>
          <w:sz w:val="22"/>
        </w:rPr>
        <w:t>approval模块与dict模块紧密关联，字典变更提交审批后由approval模块处理审批流程，审批通过后回调dict模块更新字典数据。</w:t>
      </w:r>
    </w:p>
    <w:p w14:paraId="5904E650">
      <w:pPr>
        <w:pStyle w:val="16"/>
        <w:spacing w:line="360" w:lineRule="auto"/>
      </w:pPr>
      <w:r>
        <w:rPr>
          <w:rFonts w:ascii="宋体" w:hAnsi="宋体" w:eastAsia="宋体"/>
          <w:sz w:val="22"/>
        </w:rPr>
        <w:t>station模块作为基础数据模块，为code-generation和statistics模块提供场站基本信息。</w:t>
      </w:r>
    </w:p>
    <w:p w14:paraId="1AD94E78">
      <w:pPr>
        <w:pStyle w:val="16"/>
        <w:spacing w:line="360" w:lineRule="auto"/>
      </w:pPr>
      <w:r>
        <w:rPr>
          <w:rFonts w:ascii="宋体" w:hAnsi="宋体" w:eastAsia="宋体"/>
          <w:sz w:val="22"/>
        </w:rPr>
        <w:t>auto-code模块在批量编码过程中会调用code-generation模块的编码算法，调用code-validation模块的校验功能。</w:t>
      </w:r>
    </w:p>
    <w:p w14:paraId="64B72D43">
      <w:pPr>
        <w:pStyle w:val="16"/>
        <w:spacing w:line="360" w:lineRule="auto"/>
      </w:pPr>
      <w:r>
        <w:rPr>
          <w:rFonts w:ascii="宋体" w:hAnsi="宋体" w:eastAsia="宋体"/>
          <w:sz w:val="22"/>
        </w:rPr>
        <w:t>datasource模块为auto-code和statistics模块提供外部数据源接入能力。</w:t>
      </w:r>
    </w:p>
    <w:p w14:paraId="51B4AEC6">
      <w:pPr>
        <w:pStyle w:val="16"/>
        <w:spacing w:line="360" w:lineRule="auto"/>
      </w:pPr>
      <w:r>
        <w:rPr>
          <w:rFonts w:ascii="宋体" w:hAnsi="宋体" w:eastAsia="宋体"/>
          <w:sz w:val="22"/>
        </w:rPr>
        <w:t>statistics模块是数据消费端，从dict、station、code-generation等模块获取数据进行统计分析。代码组织上，各模块完全解耦，模块间通过Service接口调用，不直接依赖其他模块的内部实现。</w:t>
      </w:r>
    </w:p>
    <w:p w14:paraId="4B2CFFAD">
      <w:pPr>
        <w:pStyle w:val="3"/>
      </w:pPr>
      <w:bookmarkStart w:id="34" w:name="_Toc375408356"/>
      <w:r>
        <w:rPr>
          <w:rFonts w:ascii="黑体" w:hAnsi="黑体" w:eastAsia="黑体"/>
          <w:color w:val="000000"/>
          <w:sz w:val="32"/>
        </w:rPr>
        <w:t>4. 后端架构设计</w:t>
      </w:r>
      <w:bookmarkEnd w:id="34"/>
    </w:p>
    <w:p w14:paraId="346B1899">
      <w:pPr>
        <w:pStyle w:val="4"/>
      </w:pPr>
      <w:bookmarkStart w:id="35" w:name="_Toc181284406"/>
      <w:r>
        <w:rPr>
          <w:rFonts w:ascii="黑体" w:hAnsi="黑体" w:eastAsia="黑体"/>
          <w:color w:val="000000"/>
          <w:sz w:val="28"/>
        </w:rPr>
        <w:t>4.1 三层架构详解</w:t>
      </w:r>
      <w:bookmarkEnd w:id="35"/>
    </w:p>
    <w:p w14:paraId="5BA8DFC1">
      <w:pPr>
        <w:pStyle w:val="5"/>
      </w:pPr>
      <w:bookmarkStart w:id="36" w:name="_Toc1715200196"/>
      <w:r>
        <w:rPr>
          <w:rFonts w:ascii="黑体" w:hAnsi="黑体" w:eastAsia="黑体"/>
          <w:color w:val="000000"/>
          <w:sz w:val="24"/>
        </w:rPr>
        <w:t>4.1.1 Controller层</w:t>
      </w:r>
      <w:bookmarkEnd w:id="36"/>
    </w:p>
    <w:p w14:paraId="0FAE4D07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Controller层位于架构的最上层，直接面向HTTP请求。其主要职责包括：路由注册、HTTP请求参数解析与类型转换、入参校验、调用Service层方法、将Service层返回结果封装为统一响应格式。</w:t>
      </w:r>
    </w:p>
    <w:p w14:paraId="63159E15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Controller层不应包含任何业务逻辑，仅作为请求的入口和响应的出口。典型的Controller方法流程：解析路由参数和请求体 → 参数校验 → 调用Service方法 → 封装统一响应。统一响应格式为：</w:t>
      </w:r>
    </w:p>
    <w:p w14:paraId="5DB8D71B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{ "code": 0, "message": "success", "data": { ... }, "timestamp": "2026-05-30T12:00:00.000Z" }</w:t>
      </w:r>
    </w:p>
    <w:p w14:paraId="75DF8CF5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错误响应格式为：</w:t>
      </w:r>
    </w:p>
    <w:p w14:paraId="398D371B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{ "code": 40001, "message": "编码格式不正确", "data": null, "timestamp": "2026-05-30T12:00:00.000Z" }</w:t>
      </w:r>
    </w:p>
    <w:p w14:paraId="473AA670">
      <w:pPr>
        <w:pStyle w:val="5"/>
      </w:pPr>
      <w:bookmarkStart w:id="37" w:name="_Toc1696700491"/>
      <w:r>
        <w:rPr>
          <w:rFonts w:ascii="黑体" w:hAnsi="黑体" w:eastAsia="黑体"/>
          <w:color w:val="000000"/>
          <w:sz w:val="24"/>
        </w:rPr>
        <w:t>4.1.2 Service层</w:t>
      </w:r>
      <w:bookmarkEnd w:id="37"/>
    </w:p>
    <w:p w14:paraId="6ECC74AA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Service层位于Controller层和Domain层之间，负责业务编排和事务管理。其主要职责包括：协调多个Domain对象的协作、管理工作单元和事务边界、跨模块的服务调用编排、缓存策略的执行。</w:t>
      </w:r>
    </w:p>
    <w:p w14:paraId="265F686D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Service层不包含具体的业务规则，而是将业务规则委托给Domain层执行。Service方法的典型模式：开启事务 → 调用Domain方法A → 调用Domain方法B → 提交/回滚事务 → 返回结果。</w:t>
      </w:r>
    </w:p>
    <w:p w14:paraId="578B90CC">
      <w:pPr>
        <w:pStyle w:val="5"/>
      </w:pPr>
      <w:bookmarkStart w:id="38" w:name="_Toc9803724"/>
      <w:r>
        <w:rPr>
          <w:rFonts w:ascii="黑体" w:hAnsi="黑体" w:eastAsia="黑体"/>
          <w:color w:val="000000"/>
          <w:sz w:val="24"/>
        </w:rPr>
        <w:t>4.1.3 Domain层</w:t>
      </w:r>
      <w:bookmarkEnd w:id="38"/>
    </w:p>
    <w:p w14:paraId="4A8275A1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Domain层是架构的核心，封装了最细粒度的业务规则和数据访问逻辑。Domain对象分为两类：业务实体（Entity）封装业务规则和方法，数据访问对象（DAO）封装数据库查询操作。</w:t>
      </w:r>
    </w:p>
    <w:p w14:paraId="1D2977F2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Domain层不依赖于Controller层和Service层，可以被独立的单元测试验证。Domain层的方法是幂等的、可组合的，多个Domain方法可以在Service层组合成复杂的业务流程。</w:t>
      </w:r>
    </w:p>
    <w:p w14:paraId="687333F1">
      <w:pPr>
        <w:pStyle w:val="4"/>
      </w:pPr>
      <w:bookmarkStart w:id="39" w:name="_Toc1562432096"/>
      <w:r>
        <w:rPr>
          <w:rFonts w:ascii="黑体" w:hAnsi="黑体" w:eastAsia="黑体"/>
          <w:color w:val="000000"/>
          <w:sz w:val="28"/>
        </w:rPr>
        <w:t>4.2 中间件链</w:t>
      </w:r>
      <w:bookmarkEnd w:id="39"/>
    </w:p>
    <w:p w14:paraId="5F3C0A8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Express中间件按注册顺序形成中间件链，每个请求依次经过各中间件的处理。系统的中间件链配置如下：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4B473924">
        <w:trPr>
          <w:jc w:val="center"/>
        </w:trPr>
        <w:tc>
          <w:tcPr>
            <w:tcW w:w="2882" w:type="dxa"/>
            <w:shd w:val="clear" w:color="auto" w:fill="D9E2F3"/>
          </w:tcPr>
          <w:p w14:paraId="4AA926B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顺序</w:t>
            </w:r>
          </w:p>
        </w:tc>
        <w:tc>
          <w:tcPr>
            <w:tcW w:w="2882" w:type="dxa"/>
            <w:shd w:val="clear" w:color="auto" w:fill="D9E2F3"/>
          </w:tcPr>
          <w:p w14:paraId="5ED7AF3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中间件</w:t>
            </w:r>
          </w:p>
        </w:tc>
        <w:tc>
          <w:tcPr>
            <w:tcW w:w="2882" w:type="dxa"/>
            <w:shd w:val="clear" w:color="auto" w:fill="D9E2F3"/>
          </w:tcPr>
          <w:p w14:paraId="399E769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</w:tr>
      <w:tr w14:paraId="716E6F4C">
        <w:trPr>
          <w:jc w:val="center"/>
        </w:trPr>
        <w:tc>
          <w:tcPr>
            <w:tcW w:w="2882" w:type="dxa"/>
          </w:tcPr>
          <w:p w14:paraId="38961C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2882" w:type="dxa"/>
          </w:tcPr>
          <w:p w14:paraId="1C9874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CORS中间件</w:t>
            </w:r>
          </w:p>
        </w:tc>
        <w:tc>
          <w:tcPr>
            <w:tcW w:w="2882" w:type="dxa"/>
          </w:tcPr>
          <w:p w14:paraId="2F49653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设置跨域请求头，允许指定来源的前端访问API</w:t>
            </w:r>
          </w:p>
        </w:tc>
      </w:tr>
      <w:tr w14:paraId="58E60303">
        <w:trPr>
          <w:jc w:val="center"/>
        </w:trPr>
        <w:tc>
          <w:tcPr>
            <w:tcW w:w="2882" w:type="dxa"/>
          </w:tcPr>
          <w:p w14:paraId="38622A4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2882" w:type="dxa"/>
          </w:tcPr>
          <w:p w14:paraId="20EA8A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JSON解析中间件</w:t>
            </w:r>
          </w:p>
        </w:tc>
        <w:tc>
          <w:tcPr>
            <w:tcW w:w="2882" w:type="dxa"/>
          </w:tcPr>
          <w:p w14:paraId="1E28FE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解析请求体中的JSON数据，限制大小为200MB</w:t>
            </w:r>
          </w:p>
        </w:tc>
      </w:tr>
      <w:tr w14:paraId="3206BC95">
        <w:trPr>
          <w:jc w:val="center"/>
        </w:trPr>
        <w:tc>
          <w:tcPr>
            <w:tcW w:w="2882" w:type="dxa"/>
          </w:tcPr>
          <w:p w14:paraId="1FB3711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2882" w:type="dxa"/>
          </w:tcPr>
          <w:p w14:paraId="39B54C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请求追踪ID中间件</w:t>
            </w:r>
          </w:p>
        </w:tc>
        <w:tc>
          <w:tcPr>
            <w:tcW w:w="2882" w:type="dxa"/>
          </w:tcPr>
          <w:p w14:paraId="206084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为每个请求生成唯一追踪ID（UUID），用于日志关联和问题追踪</w:t>
            </w:r>
          </w:p>
        </w:tc>
      </w:tr>
      <w:tr w14:paraId="3A84E005">
        <w:trPr>
          <w:jc w:val="center"/>
        </w:trPr>
        <w:tc>
          <w:tcPr>
            <w:tcW w:w="2882" w:type="dxa"/>
          </w:tcPr>
          <w:p w14:paraId="63DBB6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2882" w:type="dxa"/>
          </w:tcPr>
          <w:p w14:paraId="5913DC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请求日志中间件</w:t>
            </w:r>
          </w:p>
        </w:tc>
        <w:tc>
          <w:tcPr>
            <w:tcW w:w="2882" w:type="dxa"/>
          </w:tcPr>
          <w:p w14:paraId="63CC67B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记录请求方法、路径、状态码、处理耗时等信息到日志文件</w:t>
            </w:r>
          </w:p>
        </w:tc>
      </w:tr>
      <w:tr w14:paraId="1EF8636F">
        <w:trPr>
          <w:jc w:val="center"/>
        </w:trPr>
        <w:tc>
          <w:tcPr>
            <w:tcW w:w="2882" w:type="dxa"/>
          </w:tcPr>
          <w:p w14:paraId="2D9968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2882" w:type="dxa"/>
          </w:tcPr>
          <w:p w14:paraId="5565E60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租户上下文中间件</w:t>
            </w:r>
          </w:p>
        </w:tc>
        <w:tc>
          <w:tcPr>
            <w:tcW w:w="2882" w:type="dxa"/>
          </w:tcPr>
          <w:p w14:paraId="21B137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从JWT令牌中解析租户信息，通过AsyncLocalStorage设置租户上下文</w:t>
            </w:r>
          </w:p>
        </w:tc>
      </w:tr>
      <w:tr w14:paraId="63E3445D">
        <w:trPr>
          <w:jc w:val="center"/>
        </w:trPr>
        <w:tc>
          <w:tcPr>
            <w:tcW w:w="2882" w:type="dxa"/>
          </w:tcPr>
          <w:p w14:paraId="029AC9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2882" w:type="dxa"/>
          </w:tcPr>
          <w:p w14:paraId="287A9A3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路由中间件</w:t>
            </w:r>
          </w:p>
        </w:tc>
        <w:tc>
          <w:tcPr>
            <w:tcW w:w="2882" w:type="dxa"/>
          </w:tcPr>
          <w:p w14:paraId="657364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根据请求路径分发到对应的Controller处理函数</w:t>
            </w:r>
          </w:p>
        </w:tc>
      </w:tr>
      <w:tr w14:paraId="5993A4E8">
        <w:trPr>
          <w:jc w:val="center"/>
        </w:trPr>
        <w:tc>
          <w:tcPr>
            <w:tcW w:w="2882" w:type="dxa"/>
          </w:tcPr>
          <w:p w14:paraId="7E98B77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2882" w:type="dxa"/>
          </w:tcPr>
          <w:p w14:paraId="433684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全局错误处理中间件</w:t>
            </w:r>
          </w:p>
        </w:tc>
        <w:tc>
          <w:tcPr>
            <w:tcW w:w="2882" w:type="dxa"/>
          </w:tcPr>
          <w:p w14:paraId="1471D5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捕获所有未被处理的错误，统一返回错误响应格式</w:t>
            </w:r>
          </w:p>
        </w:tc>
      </w:tr>
    </w:tbl>
    <w:p w14:paraId="0059E1B0"/>
    <w:p w14:paraId="1DF15692">
      <w:pPr>
        <w:pStyle w:val="4"/>
      </w:pPr>
      <w:bookmarkStart w:id="40" w:name="_Toc366201956"/>
      <w:r>
        <w:rPr>
          <w:rFonts w:ascii="黑体" w:hAnsi="黑体" w:eastAsia="黑体"/>
          <w:color w:val="000000"/>
          <w:sz w:val="28"/>
        </w:rPr>
        <w:t>4.3 统一响应格式</w:t>
      </w:r>
      <w:bookmarkEnd w:id="40"/>
    </w:p>
    <w:p w14:paraId="4ADFAE3A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系统定义统一的API响应格式，确保所有接口的响应结构一致：</w:t>
      </w:r>
    </w:p>
    <w:p w14:paraId="2F807211">
      <w:pPr>
        <w:pStyle w:val="5"/>
      </w:pPr>
      <w:bookmarkStart w:id="41" w:name="_Toc68142190"/>
      <w:r>
        <w:rPr>
          <w:rFonts w:ascii="黑体" w:hAnsi="黑体" w:eastAsia="黑体"/>
          <w:color w:val="000000"/>
          <w:sz w:val="24"/>
        </w:rPr>
        <w:t>4.3.1 成功响应</w:t>
      </w:r>
      <w:bookmarkEnd w:id="41"/>
    </w:p>
    <w:p w14:paraId="6A7C70E5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成功响应包含业务数据，code为0，message为"success"。</w:t>
      </w:r>
    </w:p>
    <w:p w14:paraId="58FA0B83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示例：{ "code": 0, "message": "success", "data": { "id": 1, "name": "测点A" }, "timestamp": "2026-05-30T10:00:00.000Z" }</w:t>
      </w:r>
    </w:p>
    <w:p w14:paraId="75D1DDB4">
      <w:pPr>
        <w:pStyle w:val="5"/>
      </w:pPr>
      <w:bookmarkStart w:id="42" w:name="_Toc657003479"/>
      <w:r>
        <w:rPr>
          <w:rFonts w:ascii="黑体" w:hAnsi="黑体" w:eastAsia="黑体"/>
          <w:color w:val="000000"/>
          <w:sz w:val="24"/>
        </w:rPr>
        <w:t>4.3.2 错误响应</w:t>
      </w:r>
      <w:bookmarkEnd w:id="42"/>
    </w:p>
    <w:p w14:paraId="579E3F11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错误响应包含错误码和错误描述，data为null。错误码由系统预设，不同的错误类型对应不同的错误码范围。</w:t>
      </w:r>
    </w:p>
    <w:p w14:paraId="29A156A0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示例：{ "code": 40001, "message": "编码格式不正确", "data": null, "timestamp": "2026-05-30T10:00:00.000Z" }</w:t>
      </w:r>
    </w:p>
    <w:p w14:paraId="758F0C4B">
      <w:pPr>
        <w:pStyle w:val="4"/>
      </w:pPr>
      <w:bookmarkStart w:id="43" w:name="_Toc2044042326"/>
      <w:r>
        <w:rPr>
          <w:rFonts w:ascii="黑体" w:hAnsi="黑体" w:eastAsia="黑体"/>
          <w:color w:val="000000"/>
          <w:sz w:val="28"/>
        </w:rPr>
        <w:t>4.4 统一错误处理</w:t>
      </w:r>
      <w:bookmarkEnd w:id="43"/>
    </w:p>
    <w:p w14:paraId="07B3A962">
      <w:pPr>
        <w:pStyle w:val="5"/>
      </w:pPr>
      <w:bookmarkStart w:id="44" w:name="_Toc923472023"/>
      <w:r>
        <w:rPr>
          <w:rFonts w:ascii="黑体" w:hAnsi="黑体" w:eastAsia="黑体"/>
          <w:color w:val="000000"/>
          <w:sz w:val="24"/>
        </w:rPr>
        <w:t>4.4.1 AppError类</w:t>
      </w:r>
      <w:bookmarkEnd w:id="44"/>
    </w:p>
    <w:p w14:paraId="7BA5BBA8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系统定义AppError基类，继承自Error，包含code（错误码）、message（错误描述）、httpStatus（HTTP状态码）三个核心属性。业务代码中通过抛出AppError或其子类实例来触发错误处理流程。</w:t>
      </w:r>
    </w:p>
    <w:p w14:paraId="772A8930">
      <w:pPr>
        <w:pStyle w:val="5"/>
      </w:pPr>
      <w:bookmarkStart w:id="45" w:name="_Toc929973692"/>
      <w:r>
        <w:rPr>
          <w:rFonts w:ascii="黑体" w:hAnsi="黑体" w:eastAsia="黑体"/>
          <w:color w:val="000000"/>
          <w:sz w:val="24"/>
        </w:rPr>
        <w:t>4.4.2 全局错误处理中间件</w:t>
      </w:r>
      <w:bookmarkEnd w:id="45"/>
    </w:p>
    <w:p w14:paraId="7C487F49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全局错误处理中间件是Express中间件链的最后一环，通过4个参数的函数签名（err, req, res, next）识别。当任何中间件或路由处理函数中抛出错误时，错误会被传递到此中间件。</w:t>
      </w:r>
    </w:p>
    <w:p w14:paraId="0F2B456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错误处理流程：捕获错误 → 判断错误类型 → 提取错误信息 → 记录错误日志 → 返回统一错误响应。如果是AppError实例，使用其code、message和httpStatus；如果是未知错误，返回500内部服务器错误。</w:t>
      </w:r>
    </w:p>
    <w:p w14:paraId="6C893E69">
      <w:pPr>
        <w:pStyle w:val="4"/>
      </w:pPr>
      <w:bookmarkStart w:id="46" w:name="_Toc681858578"/>
      <w:r>
        <w:rPr>
          <w:rFonts w:ascii="黑体" w:hAnsi="黑体" w:eastAsia="黑体"/>
          <w:color w:val="000000"/>
          <w:sz w:val="28"/>
        </w:rPr>
        <w:t>4.5 多租户架构</w:t>
      </w:r>
      <w:bookmarkEnd w:id="46"/>
    </w:p>
    <w:p w14:paraId="47DD3D55">
      <w:pPr>
        <w:pStyle w:val="5"/>
      </w:pPr>
      <w:bookmarkStart w:id="47" w:name="_Toc1024380054"/>
      <w:r>
        <w:rPr>
          <w:rFonts w:ascii="黑体" w:hAnsi="黑体" w:eastAsia="黑体"/>
          <w:color w:val="000000"/>
          <w:sz w:val="24"/>
        </w:rPr>
        <w:t>4.5.1 租户配置</w:t>
      </w:r>
      <w:bookmarkEnd w:id="47"/>
    </w:p>
    <w:p w14:paraId="15C714AE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租户信息统一配置在config/tenants.ts文件中。系统预设三个租户：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7E0FC554">
        <w:trPr>
          <w:jc w:val="center"/>
        </w:trPr>
        <w:tc>
          <w:tcPr>
            <w:tcW w:w="2161" w:type="dxa"/>
            <w:shd w:val="clear" w:color="auto" w:fill="D9E2F3"/>
          </w:tcPr>
          <w:p w14:paraId="5F20DE6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租户编码</w:t>
            </w:r>
          </w:p>
        </w:tc>
        <w:tc>
          <w:tcPr>
            <w:tcW w:w="2161" w:type="dxa"/>
            <w:shd w:val="clear" w:color="auto" w:fill="D9E2F3"/>
          </w:tcPr>
          <w:p w14:paraId="0F0AF44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租户名称</w:t>
            </w:r>
          </w:p>
        </w:tc>
        <w:tc>
          <w:tcPr>
            <w:tcW w:w="2161" w:type="dxa"/>
            <w:shd w:val="clear" w:color="auto" w:fill="D9E2F3"/>
          </w:tcPr>
          <w:p w14:paraId="1EDF703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Schema名称</w:t>
            </w:r>
          </w:p>
        </w:tc>
        <w:tc>
          <w:tcPr>
            <w:tcW w:w="2161" w:type="dxa"/>
            <w:shd w:val="clear" w:color="auto" w:fill="D9E2F3"/>
          </w:tcPr>
          <w:p w14:paraId="72BDD42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4799CD0A">
        <w:trPr>
          <w:jc w:val="center"/>
        </w:trPr>
        <w:tc>
          <w:tcPr>
            <w:tcW w:w="2161" w:type="dxa"/>
          </w:tcPr>
          <w:p w14:paraId="7C6EE7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admin</w:t>
            </w:r>
          </w:p>
        </w:tc>
        <w:tc>
          <w:tcPr>
            <w:tcW w:w="2161" w:type="dxa"/>
          </w:tcPr>
          <w:p w14:paraId="16626D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集团管理员</w:t>
            </w:r>
          </w:p>
        </w:tc>
        <w:tc>
          <w:tcPr>
            <w:tcW w:w="2161" w:type="dxa"/>
          </w:tcPr>
          <w:p w14:paraId="6297B71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public</w:t>
            </w:r>
          </w:p>
        </w:tc>
        <w:tc>
          <w:tcPr>
            <w:tcW w:w="2161" w:type="dxa"/>
          </w:tcPr>
          <w:p w14:paraId="3A2055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集团级管理租户，可管理所有租户</w:t>
            </w:r>
          </w:p>
        </w:tc>
      </w:tr>
      <w:tr w14:paraId="6B0A1327">
        <w:trPr>
          <w:jc w:val="center"/>
        </w:trPr>
        <w:tc>
          <w:tcPr>
            <w:tcW w:w="2161" w:type="dxa"/>
          </w:tcPr>
          <w:p w14:paraId="7E7245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yunnan</w:t>
            </w:r>
          </w:p>
        </w:tc>
        <w:tc>
          <w:tcPr>
            <w:tcW w:w="2161" w:type="dxa"/>
          </w:tcPr>
          <w:p w14:paraId="4848294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云南分公司</w:t>
            </w:r>
          </w:p>
        </w:tc>
        <w:tc>
          <w:tcPr>
            <w:tcW w:w="2161" w:type="dxa"/>
          </w:tcPr>
          <w:p w14:paraId="23837F7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yunnan</w:t>
            </w:r>
          </w:p>
        </w:tc>
        <w:tc>
          <w:tcPr>
            <w:tcW w:w="2161" w:type="dxa"/>
          </w:tcPr>
          <w:p w14:paraId="2E4189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云南区域租户，数据隔离在yunnan Schema</w:t>
            </w:r>
          </w:p>
        </w:tc>
      </w:tr>
      <w:tr w14:paraId="4A22918D">
        <w:trPr>
          <w:jc w:val="center"/>
        </w:trPr>
        <w:tc>
          <w:tcPr>
            <w:tcW w:w="2161" w:type="dxa"/>
          </w:tcPr>
          <w:p w14:paraId="00C837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fujian</w:t>
            </w:r>
          </w:p>
        </w:tc>
        <w:tc>
          <w:tcPr>
            <w:tcW w:w="2161" w:type="dxa"/>
          </w:tcPr>
          <w:p w14:paraId="6493C2E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福建分公司</w:t>
            </w:r>
          </w:p>
        </w:tc>
        <w:tc>
          <w:tcPr>
            <w:tcW w:w="2161" w:type="dxa"/>
          </w:tcPr>
          <w:p w14:paraId="5C9E6FD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fujian</w:t>
            </w:r>
          </w:p>
        </w:tc>
        <w:tc>
          <w:tcPr>
            <w:tcW w:w="2161" w:type="dxa"/>
          </w:tcPr>
          <w:p w14:paraId="178F750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福建区域租户，数据隔离在fujian Schema</w:t>
            </w:r>
          </w:p>
        </w:tc>
      </w:tr>
    </w:tbl>
    <w:p w14:paraId="0612FF92"/>
    <w:p w14:paraId="2726310D">
      <w:pPr>
        <w:pStyle w:val="5"/>
      </w:pPr>
      <w:bookmarkStart w:id="48" w:name="_Toc379169579"/>
      <w:r>
        <w:rPr>
          <w:rFonts w:ascii="黑体" w:hAnsi="黑体" w:eastAsia="黑体"/>
          <w:color w:val="000000"/>
          <w:sz w:val="24"/>
        </w:rPr>
        <w:t>4.5.2 Schema级数据隔离</w:t>
      </w:r>
      <w:bookmarkEnd w:id="48"/>
    </w:p>
    <w:p w14:paraId="26435BA7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多租户采用PostgreSQL Schema级数据隔离方案。每个租户拥有独立的Schema，Schema内的表结构完全一致。同一数据库中包含多个Schema（public, yunnan, fujian等），通过设置search_path在运行时切换当前Schema，实现租户间数据的物理隔离。</w:t>
      </w:r>
    </w:p>
    <w:p w14:paraId="055C0EAE">
      <w:pPr>
        <w:pStyle w:val="5"/>
      </w:pPr>
      <w:bookmarkStart w:id="49" w:name="_Toc1119133604"/>
      <w:r>
        <w:rPr>
          <w:rFonts w:ascii="黑体" w:hAnsi="黑体" w:eastAsia="黑体"/>
          <w:color w:val="000000"/>
          <w:sz w:val="24"/>
        </w:rPr>
        <w:t>4.5.3 租户上下文传递机制</w:t>
      </w:r>
      <w:bookmarkEnd w:id="49"/>
    </w:p>
    <w:p w14:paraId="4615FC53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租户上下文的传递采用AsyncLocalStorage实现：</w:t>
      </w:r>
    </w:p>
    <w:p w14:paraId="517168BA">
      <w:pPr>
        <w:pStyle w:val="16"/>
        <w:spacing w:line="360" w:lineRule="auto"/>
      </w:pPr>
      <w:r>
        <w:rPr>
          <w:rFonts w:ascii="宋体" w:hAnsi="宋体" w:eastAsia="宋体"/>
          <w:sz w:val="22"/>
        </w:rPr>
        <w:t>tenantContextMiddleware中间件在每个请求进入时，从JWT令牌中解析租户编码。</w:t>
      </w:r>
    </w:p>
    <w:p w14:paraId="7728BAB4">
      <w:pPr>
        <w:pStyle w:val="16"/>
        <w:spacing w:line="360" w:lineRule="auto"/>
      </w:pPr>
      <w:r>
        <w:rPr>
          <w:rFonts w:ascii="宋体" w:hAnsi="宋体" w:eastAsia="宋体"/>
          <w:sz w:val="22"/>
        </w:rPr>
        <w:t>解析后的租户信息存入AsyncLocalStorage的上下文存储中。</w:t>
      </w:r>
    </w:p>
    <w:p w14:paraId="4BA8EDF2">
      <w:pPr>
        <w:pStyle w:val="16"/>
        <w:spacing w:line="360" w:lineRule="auto"/>
      </w:pPr>
      <w:r>
        <w:rPr>
          <w:rFonts w:ascii="宋体" w:hAnsi="宋体" w:eastAsia="宋体"/>
          <w:sz w:val="22"/>
        </w:rPr>
        <w:t>数据访问层通过queryAsTenant辅助函数，自动从AsyncLocalStorage获取当前租户，将SQL查询路由到对应的Schema。</w:t>
      </w:r>
    </w:p>
    <w:p w14:paraId="3A223D64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这种机制的优点在于：对业务代码无侵入，开发者无需在每处代码中手动传递租户参数；租户上下文在请求级自动隔离，不存在跨请求污染的问题。</w:t>
      </w:r>
    </w:p>
    <w:p w14:paraId="5335DC6D">
      <w:pPr>
        <w:pStyle w:val="3"/>
      </w:pPr>
      <w:bookmarkStart w:id="50" w:name="_Toc1616702002"/>
      <w:r>
        <w:rPr>
          <w:rFonts w:ascii="黑体" w:hAnsi="黑体" w:eastAsia="黑体"/>
          <w:color w:val="000000"/>
          <w:sz w:val="32"/>
        </w:rPr>
        <w:t>5. 前端架构设计</w:t>
      </w:r>
      <w:bookmarkEnd w:id="50"/>
    </w:p>
    <w:p w14:paraId="6E5F4BD6">
      <w:pPr>
        <w:pStyle w:val="4"/>
      </w:pPr>
      <w:bookmarkStart w:id="51" w:name="_Toc1947445770"/>
      <w:r>
        <w:rPr>
          <w:rFonts w:ascii="黑体" w:hAnsi="黑体" w:eastAsia="黑体"/>
          <w:color w:val="000000"/>
          <w:sz w:val="28"/>
        </w:rPr>
        <w:t>5.1 前端架构层次</w:t>
      </w:r>
      <w:bookmarkEnd w:id="51"/>
    </w:p>
    <w:p w14:paraId="102EAB97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前端架构分为四个核心层次，各层职责明确、单向依赖：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2CF3D881">
        <w:trPr>
          <w:jc w:val="center"/>
        </w:trPr>
        <w:tc>
          <w:tcPr>
            <w:tcW w:w="2882" w:type="dxa"/>
            <w:shd w:val="clear" w:color="auto" w:fill="D9E2F3"/>
          </w:tcPr>
          <w:p w14:paraId="35FFA81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w="2882" w:type="dxa"/>
            <w:shd w:val="clear" w:color="auto" w:fill="D9E2F3"/>
          </w:tcPr>
          <w:p w14:paraId="4221F31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  <w:tc>
          <w:tcPr>
            <w:tcW w:w="2882" w:type="dxa"/>
            <w:shd w:val="clear" w:color="auto" w:fill="D9E2F3"/>
          </w:tcPr>
          <w:p w14:paraId="389E765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</w:tr>
      <w:tr w14:paraId="26FE29DD">
        <w:trPr>
          <w:jc w:val="center"/>
        </w:trPr>
        <w:tc>
          <w:tcPr>
            <w:tcW w:w="2882" w:type="dxa"/>
          </w:tcPr>
          <w:p w14:paraId="5CDEE1D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View（视图层）</w:t>
            </w:r>
          </w:p>
        </w:tc>
        <w:tc>
          <w:tcPr>
            <w:tcW w:w="2882" w:type="dxa"/>
          </w:tcPr>
          <w:p w14:paraId="52A9AB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Vue组件、页面布局、用户交互</w:t>
            </w:r>
          </w:p>
        </w:tc>
        <w:tc>
          <w:tcPr>
            <w:tcW w:w="2882" w:type="dxa"/>
          </w:tcPr>
          <w:p w14:paraId="30FED46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Vue 3 Composition API + Element Plus</w:t>
            </w:r>
          </w:p>
        </w:tc>
      </w:tr>
      <w:tr w14:paraId="1FD311AF">
        <w:trPr>
          <w:jc w:val="center"/>
        </w:trPr>
        <w:tc>
          <w:tcPr>
            <w:tcW w:w="2882" w:type="dxa"/>
          </w:tcPr>
          <w:p w14:paraId="2B3E0C2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Service（服务层）</w:t>
            </w:r>
          </w:p>
        </w:tc>
        <w:tc>
          <w:tcPr>
            <w:tcW w:w="2882" w:type="dxa"/>
          </w:tcPr>
          <w:p w14:paraId="327E13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HTTP API调用封装、请求/响应拦截</w:t>
            </w:r>
          </w:p>
        </w:tc>
        <w:tc>
          <w:tcPr>
            <w:tcW w:w="2882" w:type="dxa"/>
          </w:tcPr>
          <w:p w14:paraId="697B93C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Axios</w:t>
            </w:r>
          </w:p>
        </w:tc>
      </w:tr>
      <w:tr w14:paraId="5D3C4A13">
        <w:trPr>
          <w:jc w:val="center"/>
        </w:trPr>
        <w:tc>
          <w:tcPr>
            <w:tcW w:w="2882" w:type="dxa"/>
          </w:tcPr>
          <w:p w14:paraId="0B8F6A3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Store（状态管理层）</w:t>
            </w:r>
          </w:p>
        </w:tc>
        <w:tc>
          <w:tcPr>
            <w:tcW w:w="2882" w:type="dxa"/>
          </w:tcPr>
          <w:p w14:paraId="2C7063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全局状态管理、跨组件数据共享</w:t>
            </w:r>
          </w:p>
        </w:tc>
        <w:tc>
          <w:tcPr>
            <w:tcW w:w="2882" w:type="dxa"/>
          </w:tcPr>
          <w:p w14:paraId="29A7BF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Pinia</w:t>
            </w:r>
          </w:p>
        </w:tc>
      </w:tr>
      <w:tr w14:paraId="1B7912D7">
        <w:trPr>
          <w:jc w:val="center"/>
        </w:trPr>
        <w:tc>
          <w:tcPr>
            <w:tcW w:w="2882" w:type="dxa"/>
          </w:tcPr>
          <w:p w14:paraId="620A82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Router（路由层）</w:t>
            </w:r>
          </w:p>
        </w:tc>
        <w:tc>
          <w:tcPr>
            <w:tcW w:w="2882" w:type="dxa"/>
          </w:tcPr>
          <w:p w14:paraId="34D4A5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页面路由管理、路由守卫</w:t>
            </w:r>
          </w:p>
        </w:tc>
        <w:tc>
          <w:tcPr>
            <w:tcW w:w="2882" w:type="dxa"/>
          </w:tcPr>
          <w:p w14:paraId="400FF00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Vue Router 4</w:t>
            </w:r>
          </w:p>
        </w:tc>
      </w:tr>
    </w:tbl>
    <w:p w14:paraId="7F6089E3"/>
    <w:p w14:paraId="4F28D5F2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View层通过Service层调用后端API获取数据，通过Store管理全局状态，通过Router实现页面导航。各层之间通过依赖注入或模块导入的方式建立联系，避免循环依赖。</w:t>
      </w:r>
    </w:p>
    <w:p w14:paraId="6C8C5EEF">
      <w:pPr>
        <w:pStyle w:val="4"/>
      </w:pPr>
      <w:bookmarkStart w:id="92" w:name="_GoBack"/>
      <w:bookmarkEnd w:id="92"/>
      <w:bookmarkStart w:id="52" w:name="_Toc922792463"/>
      <w:r>
        <w:rPr>
          <w:rFonts w:ascii="黑体" w:hAnsi="黑体" w:eastAsia="黑体"/>
          <w:color w:val="000000"/>
          <w:sz w:val="28"/>
        </w:rPr>
        <w:t>5.2 路由设计</w:t>
      </w:r>
      <w:bookmarkEnd w:id="52"/>
    </w:p>
    <w:p w14:paraId="2C32F3A6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系统定义以下前端路由：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269"/>
        <w:gridCol w:w="2161"/>
      </w:tblGrid>
      <w:tr w14:paraId="69653718">
        <w:trPr>
          <w:jc w:val="center"/>
        </w:trPr>
        <w:tc>
          <w:tcPr>
            <w:tcW w:w="2161" w:type="dxa"/>
            <w:shd w:val="clear" w:color="auto" w:fill="D9E2F3"/>
          </w:tcPr>
          <w:p w14:paraId="52A45D8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路径</w:t>
            </w:r>
          </w:p>
        </w:tc>
        <w:tc>
          <w:tcPr>
            <w:tcW w:w="2161" w:type="dxa"/>
            <w:shd w:val="clear" w:color="auto" w:fill="D9E2F3"/>
          </w:tcPr>
          <w:p w14:paraId="732119A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页面名称</w:t>
            </w:r>
          </w:p>
        </w:tc>
        <w:tc>
          <w:tcPr>
            <w:tcW w:w="2161" w:type="dxa"/>
            <w:shd w:val="clear" w:color="auto" w:fill="D9E2F3"/>
          </w:tcPr>
          <w:p w14:paraId="64EA112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组件</w:t>
            </w:r>
          </w:p>
        </w:tc>
        <w:tc>
          <w:tcPr>
            <w:tcW w:w="2161" w:type="dxa"/>
            <w:shd w:val="clear" w:color="auto" w:fill="D9E2F3"/>
          </w:tcPr>
          <w:p w14:paraId="1EE2A2F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054C75E0">
        <w:trPr>
          <w:jc w:val="center"/>
        </w:trPr>
        <w:tc>
          <w:tcPr>
            <w:tcW w:w="2161" w:type="dxa"/>
          </w:tcPr>
          <w:p w14:paraId="1E4CA88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/login</w:t>
            </w:r>
          </w:p>
        </w:tc>
        <w:tc>
          <w:tcPr>
            <w:tcW w:w="2161" w:type="dxa"/>
          </w:tcPr>
          <w:p w14:paraId="79268C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登录</w:t>
            </w:r>
          </w:p>
        </w:tc>
        <w:tc>
          <w:tcPr>
            <w:tcW w:w="2161" w:type="dxa"/>
          </w:tcPr>
          <w:p w14:paraId="51717F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LoginView.vue</w:t>
            </w:r>
          </w:p>
        </w:tc>
        <w:tc>
          <w:tcPr>
            <w:tcW w:w="2161" w:type="dxa"/>
          </w:tcPr>
          <w:p w14:paraId="657D06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用户登录页面</w:t>
            </w:r>
          </w:p>
        </w:tc>
      </w:tr>
      <w:tr w14:paraId="316051E9">
        <w:trPr>
          <w:jc w:val="center"/>
        </w:trPr>
        <w:tc>
          <w:tcPr>
            <w:tcW w:w="2161" w:type="dxa"/>
          </w:tcPr>
          <w:p w14:paraId="024560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/code-generate</w:t>
            </w:r>
          </w:p>
        </w:tc>
        <w:tc>
          <w:tcPr>
            <w:tcW w:w="2161" w:type="dxa"/>
          </w:tcPr>
          <w:p w14:paraId="22F0124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编码生成</w:t>
            </w:r>
          </w:p>
        </w:tc>
        <w:tc>
          <w:tcPr>
            <w:tcW w:w="2161" w:type="dxa"/>
          </w:tcPr>
          <w:p w14:paraId="699709F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CodeGenerateView.vue</w:t>
            </w:r>
          </w:p>
        </w:tc>
        <w:tc>
          <w:tcPr>
            <w:tcW w:w="2161" w:type="dxa"/>
          </w:tcPr>
          <w:p w14:paraId="052A563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单测点手动编码生成</w:t>
            </w:r>
          </w:p>
        </w:tc>
      </w:tr>
      <w:tr w14:paraId="6EE6D06C">
        <w:trPr>
          <w:jc w:val="center"/>
        </w:trPr>
        <w:tc>
          <w:tcPr>
            <w:tcW w:w="2161" w:type="dxa"/>
          </w:tcPr>
          <w:p w14:paraId="4353966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/auto-code</w:t>
            </w:r>
          </w:p>
        </w:tc>
        <w:tc>
          <w:tcPr>
            <w:tcW w:w="2161" w:type="dxa"/>
          </w:tcPr>
          <w:p w14:paraId="077953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自动编码</w:t>
            </w:r>
          </w:p>
        </w:tc>
        <w:tc>
          <w:tcPr>
            <w:tcW w:w="2161" w:type="dxa"/>
          </w:tcPr>
          <w:p w14:paraId="6364BF7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AutoCodeView.vue</w:t>
            </w:r>
          </w:p>
        </w:tc>
        <w:tc>
          <w:tcPr>
            <w:tcW w:w="2161" w:type="dxa"/>
          </w:tcPr>
          <w:p w14:paraId="34B3C2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批量自动编码</w:t>
            </w:r>
          </w:p>
        </w:tc>
      </w:tr>
      <w:tr w14:paraId="7ABC5D7B">
        <w:trPr>
          <w:jc w:val="center"/>
        </w:trPr>
        <w:tc>
          <w:tcPr>
            <w:tcW w:w="2161" w:type="dxa"/>
          </w:tcPr>
          <w:p w14:paraId="38EA3FE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/code-verify</w:t>
            </w:r>
          </w:p>
        </w:tc>
        <w:tc>
          <w:tcPr>
            <w:tcW w:w="2161" w:type="dxa"/>
          </w:tcPr>
          <w:p w14:paraId="3A6059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编码校验</w:t>
            </w:r>
          </w:p>
        </w:tc>
        <w:tc>
          <w:tcPr>
            <w:tcW w:w="2161" w:type="dxa"/>
          </w:tcPr>
          <w:p w14:paraId="3EA6BC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CodeVerifyView.vue</w:t>
            </w:r>
          </w:p>
        </w:tc>
        <w:tc>
          <w:tcPr>
            <w:tcW w:w="2161" w:type="dxa"/>
          </w:tcPr>
          <w:p w14:paraId="2FD73D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编码验证</w:t>
            </w:r>
          </w:p>
        </w:tc>
      </w:tr>
      <w:tr w14:paraId="273DF60E">
        <w:trPr>
          <w:jc w:val="center"/>
        </w:trPr>
        <w:tc>
          <w:tcPr>
            <w:tcW w:w="2161" w:type="dxa"/>
          </w:tcPr>
          <w:p w14:paraId="484A7F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/code-validate</w:t>
            </w:r>
          </w:p>
        </w:tc>
        <w:tc>
          <w:tcPr>
            <w:tcW w:w="2161" w:type="dxa"/>
          </w:tcPr>
          <w:p w14:paraId="4A31EBD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编码验证</w:t>
            </w:r>
          </w:p>
        </w:tc>
        <w:tc>
          <w:tcPr>
            <w:tcW w:w="2161" w:type="dxa"/>
          </w:tcPr>
          <w:p w14:paraId="28ED7B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CodeValidateView.vue</w:t>
            </w:r>
          </w:p>
        </w:tc>
        <w:tc>
          <w:tcPr>
            <w:tcW w:w="2161" w:type="dxa"/>
          </w:tcPr>
          <w:p w14:paraId="2B7E205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编码格式/规则校验</w:t>
            </w:r>
          </w:p>
        </w:tc>
      </w:tr>
      <w:tr w14:paraId="0A2C6DD6">
        <w:trPr>
          <w:jc w:val="center"/>
        </w:trPr>
        <w:tc>
          <w:tcPr>
            <w:tcW w:w="2161" w:type="dxa"/>
          </w:tcPr>
          <w:p w14:paraId="48DFDEA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/statistics</w:t>
            </w:r>
          </w:p>
        </w:tc>
        <w:tc>
          <w:tcPr>
            <w:tcW w:w="2161" w:type="dxa"/>
          </w:tcPr>
          <w:p w14:paraId="305CE3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统计分析</w:t>
            </w:r>
          </w:p>
        </w:tc>
        <w:tc>
          <w:tcPr>
            <w:tcW w:w="2161" w:type="dxa"/>
          </w:tcPr>
          <w:p w14:paraId="60BA89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StatisticsView.vue</w:t>
            </w:r>
          </w:p>
        </w:tc>
        <w:tc>
          <w:tcPr>
            <w:tcW w:w="2161" w:type="dxa"/>
          </w:tcPr>
          <w:p w14:paraId="68D8BF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数据统计与图表展示</w:t>
            </w:r>
          </w:p>
        </w:tc>
      </w:tr>
      <w:tr w14:paraId="30E2A04E">
        <w:trPr>
          <w:jc w:val="center"/>
        </w:trPr>
        <w:tc>
          <w:tcPr>
            <w:tcW w:w="2161" w:type="dxa"/>
          </w:tcPr>
          <w:p w14:paraId="3B0513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/time-series-rules</w:t>
            </w:r>
          </w:p>
        </w:tc>
        <w:tc>
          <w:tcPr>
            <w:tcW w:w="2161" w:type="dxa"/>
          </w:tcPr>
          <w:p w14:paraId="6437180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时序规则</w:t>
            </w:r>
          </w:p>
        </w:tc>
        <w:tc>
          <w:tcPr>
            <w:tcW w:w="2161" w:type="dxa"/>
          </w:tcPr>
          <w:p w14:paraId="56F876A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TimeSeriesRulesView.vue</w:t>
            </w:r>
          </w:p>
        </w:tc>
        <w:tc>
          <w:tcPr>
            <w:tcW w:w="2161" w:type="dxa"/>
          </w:tcPr>
          <w:p w14:paraId="3B76C9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时序规则管理</w:t>
            </w:r>
          </w:p>
        </w:tc>
      </w:tr>
      <w:tr w14:paraId="648A1315">
        <w:trPr>
          <w:jc w:val="center"/>
        </w:trPr>
        <w:tc>
          <w:tcPr>
            <w:tcW w:w="2161" w:type="dxa"/>
          </w:tcPr>
          <w:p w14:paraId="1A0CCE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/system-settings</w:t>
            </w:r>
          </w:p>
        </w:tc>
        <w:tc>
          <w:tcPr>
            <w:tcW w:w="2161" w:type="dxa"/>
          </w:tcPr>
          <w:p w14:paraId="2C1A8E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系统设置</w:t>
            </w:r>
          </w:p>
        </w:tc>
        <w:tc>
          <w:tcPr>
            <w:tcW w:w="2161" w:type="dxa"/>
          </w:tcPr>
          <w:p w14:paraId="650D26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SystemSettingsView.vue</w:t>
            </w:r>
          </w:p>
        </w:tc>
        <w:tc>
          <w:tcPr>
            <w:tcW w:w="2161" w:type="dxa"/>
          </w:tcPr>
          <w:p w14:paraId="5E09CDE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系统配置管理</w:t>
            </w:r>
          </w:p>
        </w:tc>
      </w:tr>
    </w:tbl>
    <w:p w14:paraId="1F4FE914"/>
    <w:p w14:paraId="5A4CA821">
      <w:pPr>
        <w:pStyle w:val="4"/>
      </w:pPr>
      <w:bookmarkStart w:id="53" w:name="_Toc246027007"/>
      <w:r>
        <w:rPr>
          <w:rFonts w:ascii="黑体" w:hAnsi="黑体" w:eastAsia="黑体"/>
          <w:color w:val="000000"/>
          <w:sz w:val="28"/>
        </w:rPr>
        <w:t>5.3 状态管理</w:t>
      </w:r>
      <w:bookmarkEnd w:id="53"/>
    </w:p>
    <w:p w14:paraId="1D4F0B2A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采用Pinia进行全局状态管理，主要Store包括：</w:t>
      </w:r>
    </w:p>
    <w:p w14:paraId="4C04B2CC">
      <w:pPr>
        <w:pStyle w:val="16"/>
        <w:spacing w:line="360" w:lineRule="auto"/>
      </w:pPr>
      <w:r>
        <w:rPr>
          <w:rFonts w:ascii="宋体" w:hAnsi="宋体" w:eastAsia="宋体"/>
          <w:sz w:val="22"/>
        </w:rPr>
        <w:t>authStore：管理用户认证状态，包括JWT Token、当前用户信息、登录状态等。提供login、logout、refreshToken等操作。</w:t>
      </w:r>
    </w:p>
    <w:p w14:paraId="09B3C9B3">
      <w:pPr>
        <w:pStyle w:val="16"/>
        <w:spacing w:line="360" w:lineRule="auto"/>
      </w:pPr>
      <w:r>
        <w:rPr>
          <w:rFonts w:ascii="宋体" w:hAnsi="宋体" w:eastAsia="宋体"/>
          <w:sz w:val="22"/>
        </w:rPr>
        <w:t>appStore：管理应用级状态，包括当前租户信息、侧边栏折叠状态、主题配置等。</w:t>
      </w:r>
    </w:p>
    <w:p w14:paraId="64EDBDDA">
      <w:pPr>
        <w:pStyle w:val="4"/>
      </w:pPr>
      <w:bookmarkStart w:id="54" w:name="_Toc1069886174"/>
      <w:r>
        <w:rPr>
          <w:rFonts w:ascii="黑体" w:hAnsi="黑体" w:eastAsia="黑体"/>
          <w:color w:val="000000"/>
          <w:sz w:val="28"/>
        </w:rPr>
        <w:t>5.4 路由守卫</w:t>
      </w:r>
      <w:bookmarkEnd w:id="54"/>
    </w:p>
    <w:p w14:paraId="29CDBFE9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Vue Router提供的beforeEach导航守卫用于实现登录认证检查。其工作流程如下：</w:t>
      </w:r>
    </w:p>
    <w:p w14:paraId="2240E4D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用户在浏览器中访问某一路由 → beforeEach守卫触发 → 检查authStore中的登录状态 → 已登录：放行，进入目标页面 → 未登录：重定向到/login页面，并在URL中带上redirect参数，登录成功后跳回原目标页面。</w:t>
      </w:r>
    </w:p>
    <w:p w14:paraId="4B8E0156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对于不需要登录即可访问的页面（如/login），在路由配置中标记为public，守卫跳过认证检查。</w:t>
      </w:r>
    </w:p>
    <w:p w14:paraId="20607666">
      <w:pPr>
        <w:pStyle w:val="4"/>
      </w:pPr>
      <w:bookmarkStart w:id="55" w:name="_Toc696350087"/>
      <w:r>
        <w:rPr>
          <w:rFonts w:ascii="黑体" w:hAnsi="黑体" w:eastAsia="黑体"/>
          <w:color w:val="000000"/>
          <w:sz w:val="28"/>
        </w:rPr>
        <w:t>5.5 组件与页面设计</w:t>
      </w:r>
      <w:bookmarkEnd w:id="55"/>
    </w:p>
    <w:p w14:paraId="78931BD5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页面采用统一布局模式：顶部导航栏显示系统名称和用户信息，左侧侧边栏显示菜单导航，右侧主内容区展示页面内容。所有业务页面遵循以下设计模式：</w:t>
      </w:r>
    </w:p>
    <w:p w14:paraId="68AFC9AE">
      <w:pPr>
        <w:pStyle w:val="16"/>
        <w:spacing w:line="360" w:lineRule="auto"/>
      </w:pPr>
      <w:r>
        <w:rPr>
          <w:rFonts w:ascii="宋体" w:hAnsi="宋体" w:eastAsia="宋体"/>
          <w:sz w:val="22"/>
        </w:rPr>
        <w:t>搜索/筛选区域：位于页面顶部，提供关键字搜索、下拉筛选等条件输入控件。</w:t>
      </w:r>
    </w:p>
    <w:p w14:paraId="37DC14E6">
      <w:pPr>
        <w:pStyle w:val="16"/>
        <w:spacing w:line="360" w:lineRule="auto"/>
      </w:pPr>
      <w:r>
        <w:rPr>
          <w:rFonts w:ascii="宋体" w:hAnsi="宋体" w:eastAsia="宋体"/>
          <w:sz w:val="22"/>
        </w:rPr>
        <w:t>操作按钮区域：位于搜索区域下方，提供新增、导入、导出、批量操作等按钮。</w:t>
      </w:r>
    </w:p>
    <w:p w14:paraId="3CED068D">
      <w:pPr>
        <w:pStyle w:val="16"/>
        <w:spacing w:line="360" w:lineRule="auto"/>
      </w:pPr>
      <w:r>
        <w:rPr>
          <w:rFonts w:ascii="宋体" w:hAnsi="宋体" w:eastAsia="宋体"/>
          <w:sz w:val="22"/>
        </w:rPr>
        <w:t>数据展示区域：使用Element Plus的表格组件展示数据，支持分页、排序。</w:t>
      </w:r>
    </w:p>
    <w:p w14:paraId="04B3A0B6">
      <w:pPr>
        <w:pStyle w:val="16"/>
        <w:spacing w:line="360" w:lineRule="auto"/>
      </w:pPr>
      <w:r>
        <w:rPr>
          <w:rFonts w:ascii="宋体" w:hAnsi="宋体" w:eastAsia="宋体"/>
          <w:sz w:val="22"/>
        </w:rPr>
        <w:t>弹窗/抽屉区域：用于新增、编辑、详情查看等操作，以对话框或抽屉形式展示。</w:t>
      </w:r>
    </w:p>
    <w:p w14:paraId="3F9A652B">
      <w:pPr>
        <w:pStyle w:val="3"/>
      </w:pPr>
      <w:bookmarkStart w:id="56" w:name="_Toc1917519706"/>
      <w:r>
        <w:rPr>
          <w:rFonts w:ascii="黑体" w:hAnsi="黑体" w:eastAsia="黑体"/>
          <w:color w:val="000000"/>
          <w:sz w:val="32"/>
        </w:rPr>
        <w:t>6. 数据架构</w:t>
      </w:r>
      <w:bookmarkEnd w:id="56"/>
    </w:p>
    <w:p w14:paraId="3F08E3B8">
      <w:pPr>
        <w:pStyle w:val="4"/>
      </w:pPr>
      <w:bookmarkStart w:id="57" w:name="_Toc466608213"/>
      <w:r>
        <w:rPr>
          <w:rFonts w:ascii="黑体" w:hAnsi="黑体" w:eastAsia="黑体"/>
          <w:color w:val="000000"/>
          <w:sz w:val="28"/>
        </w:rPr>
        <w:t>6.1 数据流</w:t>
      </w:r>
      <w:bookmarkEnd w:id="57"/>
    </w:p>
    <w:p w14:paraId="1B2FFC37">
      <w:pPr>
        <w:pStyle w:val="5"/>
      </w:pPr>
      <w:bookmarkStart w:id="58" w:name="_Toc1821440694"/>
      <w:r>
        <w:rPr>
          <w:rFonts w:ascii="黑体" w:hAnsi="黑体" w:eastAsia="黑体"/>
          <w:color w:val="000000"/>
          <w:sz w:val="24"/>
        </w:rPr>
        <w:t>6.1.1 编码生成数据流</w:t>
      </w:r>
      <w:bookmarkEnd w:id="58"/>
    </w:p>
    <w:p w14:paraId="6CE82034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用户在前端选择编码规则和参数 → 前端发送请求到后端编码生成接口（Controller） → Controller解析参数并调用Service → Service校验参数合法性并调用Domain编码算法 → Domain执行编码生成逻辑，查询字典数据 → 编码生成结果返回 → Service处理结果并记录日志 → Controller封装响应返回前端 → 前端展示生成的编码。</w:t>
      </w:r>
    </w:p>
    <w:p w14:paraId="66B76E6F">
      <w:pPr>
        <w:pStyle w:val="5"/>
      </w:pPr>
      <w:bookmarkStart w:id="59" w:name="_Toc574356073"/>
      <w:r>
        <w:rPr>
          <w:rFonts w:ascii="黑体" w:hAnsi="黑体" w:eastAsia="黑体"/>
          <w:color w:val="000000"/>
          <w:sz w:val="24"/>
        </w:rPr>
        <w:t>6.1.2 编码解析数据流</w:t>
      </w:r>
      <w:bookmarkEnd w:id="59"/>
    </w:p>
    <w:p w14:paraId="54B0B7E5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用户输入编码 → 前端发送解析请求 → Controller接收请求 → Service编排解析流程 → Domain解析编码各段含义（关联字典数据） → 返回解析结果 → 前端展示编码各段含义说明。</w:t>
      </w:r>
    </w:p>
    <w:p w14:paraId="1E8D681F">
      <w:pPr>
        <w:pStyle w:val="5"/>
      </w:pPr>
      <w:bookmarkStart w:id="60" w:name="_Toc263525646"/>
      <w:r>
        <w:rPr>
          <w:rFonts w:ascii="黑体" w:hAnsi="黑体" w:eastAsia="黑体"/>
          <w:color w:val="000000"/>
          <w:sz w:val="24"/>
        </w:rPr>
        <w:t>6.1.3 自动编码数据流</w:t>
      </w:r>
      <w:bookmarkEnd w:id="60"/>
    </w:p>
    <w:p w14:paraId="2DF80643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用户上传Excel文件 → multer中间件处理文件上传 → Controller调用Service → Service解析Excel数据 → 逐条调用编码生成逻辑 → 调用编码校验逻辑验证结果 → 汇总生成结果 → 生成结果Excel文件 → 流式返回给前端下载。</w:t>
      </w:r>
    </w:p>
    <w:p w14:paraId="78FB3007">
      <w:pPr>
        <w:pStyle w:val="5"/>
      </w:pPr>
      <w:bookmarkStart w:id="61" w:name="_Toc964252208"/>
      <w:r>
        <w:rPr>
          <w:rFonts w:ascii="黑体" w:hAnsi="黑体" w:eastAsia="黑体"/>
          <w:color w:val="000000"/>
          <w:sz w:val="24"/>
        </w:rPr>
        <w:t>6.1.4 统计数据流</w:t>
      </w:r>
      <w:bookmarkEnd w:id="61"/>
    </w:p>
    <w:p w14:paraId="1D59F94D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用户选择统计维度 → 前端请求统计数据 → Controller接收参数 → Service调用Domain执行聚合查询 → 数据从PostgreSQL中聚合返回 → Service缓存结果 → 返回统计结果 → 前端使用ECharts渲染图表展示。</w:t>
      </w:r>
    </w:p>
    <w:p w14:paraId="33373F57">
      <w:pPr>
        <w:pStyle w:val="4"/>
      </w:pPr>
      <w:bookmarkStart w:id="62" w:name="_Toc1275259594"/>
      <w:r>
        <w:rPr>
          <w:rFonts w:ascii="黑体" w:hAnsi="黑体" w:eastAsia="黑体"/>
          <w:color w:val="000000"/>
          <w:sz w:val="28"/>
        </w:rPr>
        <w:t>6.2 多租户数据隔离策略</w:t>
      </w:r>
      <w:bookmarkEnd w:id="6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44CB8605">
        <w:trPr>
          <w:jc w:val="center"/>
        </w:trPr>
        <w:tc>
          <w:tcPr>
            <w:tcW w:w="2161" w:type="dxa"/>
            <w:shd w:val="clear" w:color="auto" w:fill="D9E2F3"/>
          </w:tcPr>
          <w:p w14:paraId="4C34A13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数据类型</w:t>
            </w:r>
          </w:p>
        </w:tc>
        <w:tc>
          <w:tcPr>
            <w:tcW w:w="2161" w:type="dxa"/>
            <w:shd w:val="clear" w:color="auto" w:fill="D9E2F3"/>
          </w:tcPr>
          <w:p w14:paraId="6D760D2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隔离级别</w:t>
            </w:r>
          </w:p>
        </w:tc>
        <w:tc>
          <w:tcPr>
            <w:tcW w:w="2161" w:type="dxa"/>
            <w:shd w:val="clear" w:color="auto" w:fill="D9E2F3"/>
          </w:tcPr>
          <w:p w14:paraId="12E048B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Schema</w:t>
            </w:r>
          </w:p>
        </w:tc>
        <w:tc>
          <w:tcPr>
            <w:tcW w:w="2161" w:type="dxa"/>
            <w:shd w:val="clear" w:color="auto" w:fill="D9E2F3"/>
          </w:tcPr>
          <w:p w14:paraId="4D84FF2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7EAB1AF2">
        <w:trPr>
          <w:jc w:val="center"/>
        </w:trPr>
        <w:tc>
          <w:tcPr>
            <w:tcW w:w="2161" w:type="dxa"/>
          </w:tcPr>
          <w:p w14:paraId="6B17540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字典数据</w:t>
            </w:r>
          </w:p>
        </w:tc>
        <w:tc>
          <w:tcPr>
            <w:tcW w:w="2161" w:type="dxa"/>
          </w:tcPr>
          <w:p w14:paraId="6E81FC8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Schema隔离</w:t>
            </w:r>
          </w:p>
        </w:tc>
        <w:tc>
          <w:tcPr>
            <w:tcW w:w="2161" w:type="dxa"/>
          </w:tcPr>
          <w:p w14:paraId="51CFF48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租户Schema</w:t>
            </w:r>
          </w:p>
        </w:tc>
        <w:tc>
          <w:tcPr>
            <w:tcW w:w="2161" w:type="dxa"/>
          </w:tcPr>
          <w:p w14:paraId="31B82F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每个租户维护独立的字典数据</w:t>
            </w:r>
          </w:p>
        </w:tc>
      </w:tr>
      <w:tr w14:paraId="29B7FCEE">
        <w:trPr>
          <w:jc w:val="center"/>
        </w:trPr>
        <w:tc>
          <w:tcPr>
            <w:tcW w:w="2161" w:type="dxa"/>
          </w:tcPr>
          <w:p w14:paraId="3E32322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编码数据</w:t>
            </w:r>
          </w:p>
        </w:tc>
        <w:tc>
          <w:tcPr>
            <w:tcW w:w="2161" w:type="dxa"/>
          </w:tcPr>
          <w:p w14:paraId="6A6B15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Schema隔离</w:t>
            </w:r>
          </w:p>
        </w:tc>
        <w:tc>
          <w:tcPr>
            <w:tcW w:w="2161" w:type="dxa"/>
          </w:tcPr>
          <w:p w14:paraId="6FB0716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租户Schema</w:t>
            </w:r>
          </w:p>
        </w:tc>
        <w:tc>
          <w:tcPr>
            <w:tcW w:w="2161" w:type="dxa"/>
          </w:tcPr>
          <w:p w14:paraId="20983D2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编码记录按租户隔离存储</w:t>
            </w:r>
          </w:p>
        </w:tc>
      </w:tr>
      <w:tr w14:paraId="66D54376">
        <w:trPr>
          <w:jc w:val="center"/>
        </w:trPr>
        <w:tc>
          <w:tcPr>
            <w:tcW w:w="2161" w:type="dxa"/>
          </w:tcPr>
          <w:p w14:paraId="66B553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场站数据</w:t>
            </w:r>
          </w:p>
        </w:tc>
        <w:tc>
          <w:tcPr>
            <w:tcW w:w="2161" w:type="dxa"/>
          </w:tcPr>
          <w:p w14:paraId="53612BD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Schema隔离</w:t>
            </w:r>
          </w:p>
        </w:tc>
        <w:tc>
          <w:tcPr>
            <w:tcW w:w="2161" w:type="dxa"/>
          </w:tcPr>
          <w:p w14:paraId="50222E6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租户Schema</w:t>
            </w:r>
          </w:p>
        </w:tc>
        <w:tc>
          <w:tcPr>
            <w:tcW w:w="2161" w:type="dxa"/>
          </w:tcPr>
          <w:p w14:paraId="47D2402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场站信息按租户管理</w:t>
            </w:r>
          </w:p>
        </w:tc>
      </w:tr>
      <w:tr w14:paraId="3BB08B1D">
        <w:trPr>
          <w:jc w:val="center"/>
        </w:trPr>
        <w:tc>
          <w:tcPr>
            <w:tcW w:w="2161" w:type="dxa"/>
          </w:tcPr>
          <w:p w14:paraId="1DAB0D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用户数据</w:t>
            </w:r>
          </w:p>
        </w:tc>
        <w:tc>
          <w:tcPr>
            <w:tcW w:w="2161" w:type="dxa"/>
          </w:tcPr>
          <w:p w14:paraId="39FE47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Schema隔离</w:t>
            </w:r>
          </w:p>
        </w:tc>
        <w:tc>
          <w:tcPr>
            <w:tcW w:w="2161" w:type="dxa"/>
          </w:tcPr>
          <w:p w14:paraId="1AF1426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租户Schema</w:t>
            </w:r>
          </w:p>
        </w:tc>
        <w:tc>
          <w:tcPr>
            <w:tcW w:w="2161" w:type="dxa"/>
          </w:tcPr>
          <w:p w14:paraId="061165C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用户账号按租户隔离</w:t>
            </w:r>
          </w:p>
        </w:tc>
      </w:tr>
      <w:tr w14:paraId="3A3C2086">
        <w:trPr>
          <w:jc w:val="center"/>
        </w:trPr>
        <w:tc>
          <w:tcPr>
            <w:tcW w:w="2161" w:type="dxa"/>
          </w:tcPr>
          <w:p w14:paraId="45F6742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审批数据</w:t>
            </w:r>
          </w:p>
        </w:tc>
        <w:tc>
          <w:tcPr>
            <w:tcW w:w="2161" w:type="dxa"/>
          </w:tcPr>
          <w:p w14:paraId="29168D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Schema隔离</w:t>
            </w:r>
          </w:p>
        </w:tc>
        <w:tc>
          <w:tcPr>
            <w:tcW w:w="2161" w:type="dxa"/>
          </w:tcPr>
          <w:p w14:paraId="447BD23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租户Schema</w:t>
            </w:r>
          </w:p>
        </w:tc>
        <w:tc>
          <w:tcPr>
            <w:tcW w:w="2161" w:type="dxa"/>
          </w:tcPr>
          <w:p w14:paraId="1898A58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审批流程数据按租户隔离</w:t>
            </w:r>
          </w:p>
        </w:tc>
      </w:tr>
      <w:tr w14:paraId="38EB40C3">
        <w:trPr>
          <w:jc w:val="center"/>
        </w:trPr>
        <w:tc>
          <w:tcPr>
            <w:tcW w:w="2161" w:type="dxa"/>
          </w:tcPr>
          <w:p w14:paraId="711F6A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系统配置</w:t>
            </w:r>
          </w:p>
        </w:tc>
        <w:tc>
          <w:tcPr>
            <w:tcW w:w="2161" w:type="dxa"/>
          </w:tcPr>
          <w:p w14:paraId="43EF0A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全局共享</w:t>
            </w:r>
          </w:p>
        </w:tc>
        <w:tc>
          <w:tcPr>
            <w:tcW w:w="2161" w:type="dxa"/>
          </w:tcPr>
          <w:p w14:paraId="1F8A3F1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public</w:t>
            </w:r>
          </w:p>
        </w:tc>
        <w:tc>
          <w:tcPr>
            <w:tcW w:w="2161" w:type="dxa"/>
          </w:tcPr>
          <w:p w14:paraId="43EF6D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系统级配置全局可见</w:t>
            </w:r>
          </w:p>
        </w:tc>
      </w:tr>
      <w:tr w14:paraId="61618D13">
        <w:trPr>
          <w:jc w:val="center"/>
        </w:trPr>
        <w:tc>
          <w:tcPr>
            <w:tcW w:w="2161" w:type="dxa"/>
          </w:tcPr>
          <w:p w14:paraId="78E3F5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审计日志</w:t>
            </w:r>
          </w:p>
        </w:tc>
        <w:tc>
          <w:tcPr>
            <w:tcW w:w="2161" w:type="dxa"/>
          </w:tcPr>
          <w:p w14:paraId="0B0C570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Schema隔离</w:t>
            </w:r>
          </w:p>
        </w:tc>
        <w:tc>
          <w:tcPr>
            <w:tcW w:w="2161" w:type="dxa"/>
          </w:tcPr>
          <w:p w14:paraId="5F5CCF6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租户Schema</w:t>
            </w:r>
          </w:p>
        </w:tc>
        <w:tc>
          <w:tcPr>
            <w:tcW w:w="2161" w:type="dxa"/>
          </w:tcPr>
          <w:p w14:paraId="4DEA8C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操作日志按租户记录</w:t>
            </w:r>
          </w:p>
        </w:tc>
      </w:tr>
    </w:tbl>
    <w:p w14:paraId="58D39BD7"/>
    <w:p w14:paraId="7FAB35D1">
      <w:pPr>
        <w:pStyle w:val="4"/>
      </w:pPr>
      <w:bookmarkStart w:id="63" w:name="_Toc1401199298"/>
      <w:r>
        <w:rPr>
          <w:rFonts w:ascii="黑体" w:hAnsi="黑体" w:eastAsia="黑体"/>
          <w:color w:val="000000"/>
          <w:sz w:val="28"/>
        </w:rPr>
        <w:t>6.3 缓存策略</w:t>
      </w:r>
      <w:bookmarkEnd w:id="63"/>
    </w:p>
    <w:p w14:paraId="13180490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系统根据数据特性采用三级缓存策略：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3D3385D6">
        <w:trPr>
          <w:jc w:val="center"/>
        </w:trPr>
        <w:tc>
          <w:tcPr>
            <w:tcW w:w="1729" w:type="dxa"/>
            <w:shd w:val="clear" w:color="auto" w:fill="D9E2F3"/>
          </w:tcPr>
          <w:p w14:paraId="0E23DAD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缓存级别</w:t>
            </w:r>
          </w:p>
        </w:tc>
        <w:tc>
          <w:tcPr>
            <w:tcW w:w="1729" w:type="dxa"/>
            <w:shd w:val="clear" w:color="auto" w:fill="D9E2F3"/>
          </w:tcPr>
          <w:p w14:paraId="3C970B5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存储位置</w:t>
            </w:r>
          </w:p>
        </w:tc>
        <w:tc>
          <w:tcPr>
            <w:tcW w:w="1729" w:type="dxa"/>
            <w:shd w:val="clear" w:color="auto" w:fill="D9E2F3"/>
          </w:tcPr>
          <w:p w14:paraId="0F55D62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数据类型</w:t>
            </w:r>
          </w:p>
        </w:tc>
        <w:tc>
          <w:tcPr>
            <w:tcW w:w="1729" w:type="dxa"/>
            <w:shd w:val="clear" w:color="auto" w:fill="D9E2F3"/>
          </w:tcPr>
          <w:p w14:paraId="13EFF34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TTL</w:t>
            </w:r>
          </w:p>
        </w:tc>
        <w:tc>
          <w:tcPr>
            <w:tcW w:w="1729" w:type="dxa"/>
            <w:shd w:val="clear" w:color="auto" w:fill="D9E2F3"/>
          </w:tcPr>
          <w:p w14:paraId="34DBDE1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失效策略</w:t>
            </w:r>
          </w:p>
        </w:tc>
      </w:tr>
      <w:tr w14:paraId="2ABF65EC">
        <w:trPr>
          <w:jc w:val="center"/>
        </w:trPr>
        <w:tc>
          <w:tcPr>
            <w:tcW w:w="1729" w:type="dxa"/>
          </w:tcPr>
          <w:p w14:paraId="4309C9D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内存缓存</w:t>
            </w:r>
          </w:p>
        </w:tc>
        <w:tc>
          <w:tcPr>
            <w:tcW w:w="1729" w:type="dxa"/>
          </w:tcPr>
          <w:p w14:paraId="58084FE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Node.js内存</w:t>
            </w:r>
          </w:p>
        </w:tc>
        <w:tc>
          <w:tcPr>
            <w:tcW w:w="1729" w:type="dxa"/>
          </w:tcPr>
          <w:p w14:paraId="3C7D85F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字典树、字典项</w:t>
            </w:r>
          </w:p>
        </w:tc>
        <w:tc>
          <w:tcPr>
            <w:tcW w:w="1729" w:type="dxa"/>
          </w:tcPr>
          <w:p w14:paraId="3181E5D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可配置（默认5分钟）</w:t>
            </w:r>
          </w:p>
        </w:tc>
        <w:tc>
          <w:tcPr>
            <w:tcW w:w="1729" w:type="dxa"/>
          </w:tcPr>
          <w:p w14:paraId="30D4CE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TTL到期自动失效</w:t>
            </w:r>
          </w:p>
        </w:tc>
      </w:tr>
      <w:tr w14:paraId="2D0D9190">
        <w:trPr>
          <w:jc w:val="center"/>
        </w:trPr>
        <w:tc>
          <w:tcPr>
            <w:tcW w:w="1729" w:type="dxa"/>
          </w:tcPr>
          <w:p w14:paraId="433397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草稿缓存</w:t>
            </w:r>
          </w:p>
        </w:tc>
        <w:tc>
          <w:tcPr>
            <w:tcW w:w="1729" w:type="dxa"/>
          </w:tcPr>
          <w:p w14:paraId="68FF2C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Node.js内存</w:t>
            </w:r>
          </w:p>
        </w:tc>
        <w:tc>
          <w:tcPr>
            <w:tcW w:w="1729" w:type="dxa"/>
          </w:tcPr>
          <w:p w14:paraId="3AD98A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未提交的编码草稿</w:t>
            </w:r>
          </w:p>
        </w:tc>
        <w:tc>
          <w:tcPr>
            <w:tcW w:w="1729" w:type="dxa"/>
          </w:tcPr>
          <w:p w14:paraId="218B2A1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无TTL</w:t>
            </w:r>
          </w:p>
        </w:tc>
        <w:tc>
          <w:tcPr>
            <w:tcW w:w="1729" w:type="dxa"/>
          </w:tcPr>
          <w:p w14:paraId="2B9D9D6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服务重启后丢失</w:t>
            </w:r>
          </w:p>
        </w:tc>
      </w:tr>
      <w:tr w14:paraId="543602AF">
        <w:trPr>
          <w:jc w:val="center"/>
        </w:trPr>
        <w:tc>
          <w:tcPr>
            <w:tcW w:w="1729" w:type="dxa"/>
          </w:tcPr>
          <w:p w14:paraId="053B28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持久化存储</w:t>
            </w:r>
          </w:p>
        </w:tc>
        <w:tc>
          <w:tcPr>
            <w:tcW w:w="1729" w:type="dxa"/>
          </w:tcPr>
          <w:p w14:paraId="045836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PostgreSQL</w:t>
            </w:r>
          </w:p>
        </w:tc>
        <w:tc>
          <w:tcPr>
            <w:tcW w:w="1729" w:type="dxa"/>
          </w:tcPr>
          <w:p w14:paraId="4EAF608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字典数据、编码记录、用户信息等</w:t>
            </w:r>
          </w:p>
        </w:tc>
        <w:tc>
          <w:tcPr>
            <w:tcW w:w="1729" w:type="dxa"/>
          </w:tcPr>
          <w:p w14:paraId="21F3AD9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永久</w:t>
            </w:r>
          </w:p>
        </w:tc>
        <w:tc>
          <w:tcPr>
            <w:tcW w:w="1729" w:type="dxa"/>
          </w:tcPr>
          <w:p w14:paraId="60816D3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数据变更主动更新</w:t>
            </w:r>
          </w:p>
        </w:tc>
      </w:tr>
    </w:tbl>
    <w:p w14:paraId="5122ECCD"/>
    <w:p w14:paraId="75FE2F3B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字典树等高频读取、低频写入的数据适合使用内存缓存，TTL机制确保数据在可接受的时间内保持最新。草稿数据（如未完成的编码单）暂存于内存中，优点是读写速度快，缺点是服务重启后丢失（不适用于重要数据）。所有持久化数据统一存储在PostgreSQL数据库中，确保数据的可靠性和一致性。</w:t>
      </w:r>
    </w:p>
    <w:p w14:paraId="0E6ED108">
      <w:pPr>
        <w:pStyle w:val="4"/>
      </w:pPr>
      <w:bookmarkStart w:id="64" w:name="_Toc650928484"/>
      <w:r>
        <w:rPr>
          <w:rFonts w:ascii="黑体" w:hAnsi="黑体" w:eastAsia="黑体"/>
          <w:color w:val="000000"/>
          <w:sz w:val="28"/>
        </w:rPr>
        <w:t>6.4 文件存储</w:t>
      </w:r>
      <w:bookmarkEnd w:id="64"/>
    </w:p>
    <w:p w14:paraId="25F04FD7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Excel文件的导入和导出：Excel上传使用multer中间件处理multipart/form-data，支持流式读取避免内存溢出。Excel下载采用流式写入方式，生成文件后通过响应流直接发送给客户端，不落盘（如需存档则同时写入服务器临时目录）。</w:t>
      </w:r>
    </w:p>
    <w:p w14:paraId="613BFC57">
      <w:pPr>
        <w:pStyle w:val="3"/>
      </w:pPr>
      <w:bookmarkStart w:id="65" w:name="_Toc873332770"/>
      <w:r>
        <w:rPr>
          <w:rFonts w:ascii="黑体" w:hAnsi="黑体" w:eastAsia="黑体"/>
          <w:color w:val="000000"/>
          <w:sz w:val="32"/>
        </w:rPr>
        <w:t>7. 部署架构</w:t>
      </w:r>
      <w:bookmarkEnd w:id="65"/>
    </w:p>
    <w:p w14:paraId="3E144D59">
      <w:pPr>
        <w:pStyle w:val="4"/>
      </w:pPr>
      <w:bookmarkStart w:id="66" w:name="_Toc53138145"/>
      <w:r>
        <w:rPr>
          <w:rFonts w:ascii="黑体" w:hAnsi="黑体" w:eastAsia="黑体"/>
          <w:color w:val="000000"/>
          <w:sz w:val="28"/>
        </w:rPr>
        <w:t>7.1 部署拓扑</w:t>
      </w:r>
      <w:bookmarkEnd w:id="66"/>
    </w:p>
    <w:p w14:paraId="5FDBC6B2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开发环境下的部署拓扑为：</w:t>
      </w:r>
    </w:p>
    <w:p w14:paraId="00025E59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Vite开发服务器（端口5173） → 代理转发 → Express应用服务器（端口3000） → PostgreSQL数据库（端口5432）</w:t>
      </w:r>
    </w:p>
    <w:p w14:paraId="4F7E9E6C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前端开发服务器（Vite）运行在端口5173，通过Vite配置的proxy选项将API请求代理转发到后端服务器（端口3000），从而避免跨域问题。后端服务器连接PostgreSQL数据库（端口5432），执行SQL查询。</w:t>
      </w:r>
    </w:p>
    <w:p w14:paraId="6FFDAA27">
      <w:pPr>
        <w:pStyle w:val="4"/>
      </w:pPr>
      <w:bookmarkStart w:id="67" w:name="_Toc1887089510"/>
      <w:r>
        <w:rPr>
          <w:rFonts w:ascii="黑体" w:hAnsi="黑体" w:eastAsia="黑体"/>
          <w:color w:val="000000"/>
          <w:sz w:val="28"/>
        </w:rPr>
        <w:t>7.2 多租户数据库配置</w:t>
      </w:r>
      <w:bookmarkEnd w:id="6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575BD45A">
        <w:trPr>
          <w:jc w:val="center"/>
        </w:trPr>
        <w:tc>
          <w:tcPr>
            <w:tcW w:w="2161" w:type="dxa"/>
            <w:shd w:val="clear" w:color="auto" w:fill="D9E2F3"/>
          </w:tcPr>
          <w:p w14:paraId="00539DA2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租户</w:t>
            </w:r>
          </w:p>
        </w:tc>
        <w:tc>
          <w:tcPr>
            <w:tcW w:w="2161" w:type="dxa"/>
            <w:shd w:val="clear" w:color="auto" w:fill="D9E2F3"/>
          </w:tcPr>
          <w:p w14:paraId="7708734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数据库名</w:t>
            </w:r>
          </w:p>
        </w:tc>
        <w:tc>
          <w:tcPr>
            <w:tcW w:w="2161" w:type="dxa"/>
            <w:shd w:val="clear" w:color="auto" w:fill="D9E2F3"/>
          </w:tcPr>
          <w:p w14:paraId="0F19287A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Schema</w:t>
            </w:r>
          </w:p>
        </w:tc>
        <w:tc>
          <w:tcPr>
            <w:tcW w:w="2161" w:type="dxa"/>
            <w:shd w:val="clear" w:color="auto" w:fill="D9E2F3"/>
          </w:tcPr>
          <w:p w14:paraId="69772676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连接池</w:t>
            </w:r>
          </w:p>
        </w:tc>
      </w:tr>
      <w:tr w14:paraId="5E48910E">
        <w:trPr>
          <w:jc w:val="center"/>
        </w:trPr>
        <w:tc>
          <w:tcPr>
            <w:tcW w:w="2161" w:type="dxa"/>
          </w:tcPr>
          <w:p w14:paraId="7D67AB2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集团管理员</w:t>
            </w:r>
          </w:p>
        </w:tc>
        <w:tc>
          <w:tcPr>
            <w:tcW w:w="2161" w:type="dxa"/>
          </w:tcPr>
          <w:p w14:paraId="09A7D01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cec_coding</w:t>
            </w:r>
          </w:p>
        </w:tc>
        <w:tc>
          <w:tcPr>
            <w:tcW w:w="2161" w:type="dxa"/>
          </w:tcPr>
          <w:p w14:paraId="38BE4B6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public</w:t>
            </w:r>
          </w:p>
        </w:tc>
        <w:tc>
          <w:tcPr>
            <w:tcW w:w="2161" w:type="dxa"/>
          </w:tcPr>
          <w:p w14:paraId="2EB412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默认连接池</w:t>
            </w:r>
          </w:p>
        </w:tc>
      </w:tr>
      <w:tr w14:paraId="20259631">
        <w:trPr>
          <w:jc w:val="center"/>
        </w:trPr>
        <w:tc>
          <w:tcPr>
            <w:tcW w:w="2161" w:type="dxa"/>
          </w:tcPr>
          <w:p w14:paraId="61CE354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云南分公司</w:t>
            </w:r>
          </w:p>
        </w:tc>
        <w:tc>
          <w:tcPr>
            <w:tcW w:w="2161" w:type="dxa"/>
          </w:tcPr>
          <w:p w14:paraId="5AECAA2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cec_coding</w:t>
            </w:r>
          </w:p>
        </w:tc>
        <w:tc>
          <w:tcPr>
            <w:tcW w:w="2161" w:type="dxa"/>
          </w:tcPr>
          <w:p w14:paraId="0CDC1D6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yunnan</w:t>
            </w:r>
          </w:p>
        </w:tc>
        <w:tc>
          <w:tcPr>
            <w:tcW w:w="2161" w:type="dxa"/>
          </w:tcPr>
          <w:p w14:paraId="269E5D7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运行时动态切换</w:t>
            </w:r>
          </w:p>
        </w:tc>
      </w:tr>
      <w:tr w14:paraId="77E8C17B">
        <w:trPr>
          <w:jc w:val="center"/>
        </w:trPr>
        <w:tc>
          <w:tcPr>
            <w:tcW w:w="2161" w:type="dxa"/>
          </w:tcPr>
          <w:p w14:paraId="56B5F9E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福建分公司</w:t>
            </w:r>
          </w:p>
        </w:tc>
        <w:tc>
          <w:tcPr>
            <w:tcW w:w="2161" w:type="dxa"/>
          </w:tcPr>
          <w:p w14:paraId="6F8419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cec_coding</w:t>
            </w:r>
          </w:p>
        </w:tc>
        <w:tc>
          <w:tcPr>
            <w:tcW w:w="2161" w:type="dxa"/>
          </w:tcPr>
          <w:p w14:paraId="18FED4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fujian</w:t>
            </w:r>
          </w:p>
        </w:tc>
        <w:tc>
          <w:tcPr>
            <w:tcW w:w="2161" w:type="dxa"/>
          </w:tcPr>
          <w:p w14:paraId="6BAF7B0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运行时动态切换</w:t>
            </w:r>
          </w:p>
        </w:tc>
      </w:tr>
    </w:tbl>
    <w:p w14:paraId="624A8B8A"/>
    <w:p w14:paraId="5C16A3C3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所有租户共用同一数据库实例（cec_coding），通过Schema进行逻辑隔离。数据库连接池由pg库的Pool统一管理，租户切换通过动态设置search_path实现。</w:t>
      </w:r>
    </w:p>
    <w:p w14:paraId="1EF0DE2E">
      <w:pPr>
        <w:pStyle w:val="4"/>
      </w:pPr>
      <w:bookmarkStart w:id="68" w:name="_Toc127412027"/>
      <w:r>
        <w:rPr>
          <w:rFonts w:ascii="黑体" w:hAnsi="黑体" w:eastAsia="黑体"/>
          <w:color w:val="000000"/>
          <w:sz w:val="28"/>
        </w:rPr>
        <w:t>7.3 本地运行方式</w:t>
      </w:r>
      <w:bookmarkEnd w:id="68"/>
    </w:p>
    <w:p w14:paraId="0220947D">
      <w:pPr>
        <w:pStyle w:val="5"/>
      </w:pPr>
      <w:bookmarkStart w:id="69" w:name="_Toc372741730"/>
      <w:r>
        <w:rPr>
          <w:rFonts w:ascii="黑体" w:hAnsi="黑体" w:eastAsia="黑体"/>
          <w:color w:val="000000"/>
          <w:sz w:val="24"/>
        </w:rPr>
        <w:t>7.3.1 环境要求</w:t>
      </w:r>
      <w:bookmarkEnd w:id="69"/>
    </w:p>
    <w:p w14:paraId="7E91EBAC">
      <w:pPr>
        <w:pStyle w:val="16"/>
        <w:spacing w:line="360" w:lineRule="auto"/>
      </w:pPr>
      <w:r>
        <w:rPr>
          <w:rFonts w:ascii="宋体" w:hAnsi="宋体" w:eastAsia="宋体"/>
          <w:sz w:val="22"/>
        </w:rPr>
        <w:t>Node.js 20 LTS 或更高版本</w:t>
      </w:r>
    </w:p>
    <w:p w14:paraId="37A19EB0">
      <w:pPr>
        <w:pStyle w:val="16"/>
        <w:spacing w:line="360" w:lineRule="auto"/>
      </w:pPr>
      <w:r>
        <w:rPr>
          <w:rFonts w:ascii="宋体" w:hAnsi="宋体" w:eastAsia="宋体"/>
          <w:sz w:val="22"/>
        </w:rPr>
        <w:t>pnpm 9+（npm install -g pnpm）</w:t>
      </w:r>
    </w:p>
    <w:p w14:paraId="0850D3E9">
      <w:pPr>
        <w:pStyle w:val="16"/>
        <w:spacing w:line="360" w:lineRule="auto"/>
      </w:pPr>
      <w:r>
        <w:rPr>
          <w:rFonts w:ascii="宋体" w:hAnsi="宋体" w:eastAsia="宋体"/>
          <w:sz w:val="22"/>
        </w:rPr>
        <w:t>PostgreSQL 16+</w:t>
      </w:r>
    </w:p>
    <w:p w14:paraId="5B6D62CA">
      <w:pPr>
        <w:pStyle w:val="16"/>
        <w:spacing w:line="360" w:lineRule="auto"/>
      </w:pPr>
      <w:r>
        <w:rPr>
          <w:rFonts w:ascii="宋体" w:hAnsi="宋体" w:eastAsia="宋体"/>
          <w:sz w:val="22"/>
        </w:rPr>
        <w:t>Git</w:t>
      </w:r>
    </w:p>
    <w:p w14:paraId="1AA6B91C">
      <w:pPr>
        <w:pStyle w:val="5"/>
      </w:pPr>
      <w:bookmarkStart w:id="70" w:name="_Toc460457811"/>
      <w:r>
        <w:rPr>
          <w:rFonts w:ascii="黑体" w:hAnsi="黑体" w:eastAsia="黑体"/>
          <w:color w:val="000000"/>
          <w:sz w:val="24"/>
        </w:rPr>
        <w:t>7.3.2 安装与启动</w:t>
      </w:r>
      <w:bookmarkEnd w:id="70"/>
    </w:p>
    <w:p w14:paraId="76C7B94A">
      <w:pPr>
        <w:pStyle w:val="16"/>
        <w:spacing w:line="360" w:lineRule="auto"/>
      </w:pPr>
      <w:r>
        <w:rPr>
          <w:rFonts w:ascii="宋体" w:hAnsi="宋体" w:eastAsia="宋体"/>
          <w:sz w:val="22"/>
        </w:rPr>
        <w:t>安装依赖：在项目根目录执行 pnpm install</w:t>
      </w:r>
    </w:p>
    <w:p w14:paraId="52F1A167">
      <w:pPr>
        <w:pStyle w:val="16"/>
        <w:spacing w:line="360" w:lineRule="auto"/>
      </w:pPr>
      <w:r>
        <w:rPr>
          <w:rFonts w:ascii="宋体" w:hAnsi="宋体" w:eastAsia="宋体"/>
          <w:sz w:val="22"/>
        </w:rPr>
        <w:t>初始化数据库：执行 pnpm db:init（创建数据库、Schema、初始数据）</w:t>
      </w:r>
    </w:p>
    <w:p w14:paraId="6D7A3777">
      <w:pPr>
        <w:pStyle w:val="16"/>
        <w:spacing w:line="360" w:lineRule="auto"/>
      </w:pPr>
      <w:r>
        <w:rPr>
          <w:rFonts w:ascii="宋体" w:hAnsi="宋体" w:eastAsia="宋体"/>
          <w:sz w:val="22"/>
        </w:rPr>
        <w:t>启动后端：在apps/backend目录执行 pnpm dev（启动Express服务，端口3000）</w:t>
      </w:r>
    </w:p>
    <w:p w14:paraId="24100FF9">
      <w:pPr>
        <w:pStyle w:val="16"/>
        <w:spacing w:line="360" w:lineRule="auto"/>
      </w:pPr>
      <w:r>
        <w:rPr>
          <w:rFonts w:ascii="宋体" w:hAnsi="宋体" w:eastAsia="宋体"/>
          <w:sz w:val="22"/>
        </w:rPr>
        <w:t>启动前端：在apps/frontend目录执行 pnpm dev（启动Vite开发服务器，端口5173）</w:t>
      </w:r>
    </w:p>
    <w:p w14:paraId="28F356FB">
      <w:pPr>
        <w:pStyle w:val="16"/>
        <w:spacing w:line="360" w:lineRule="auto"/>
      </w:pPr>
      <w:r>
        <w:rPr>
          <w:rFonts w:ascii="宋体" w:hAnsi="宋体" w:eastAsia="宋体"/>
          <w:sz w:val="22"/>
        </w:rPr>
        <w:t>访问系统：在浏览器中打开 http://localhost:5173</w:t>
      </w:r>
    </w:p>
    <w:p w14:paraId="65337383">
      <w:pPr>
        <w:pStyle w:val="4"/>
      </w:pPr>
      <w:bookmarkStart w:id="71" w:name="_Toc1530849336"/>
      <w:r>
        <w:rPr>
          <w:rFonts w:ascii="黑体" w:hAnsi="黑体" w:eastAsia="黑体"/>
          <w:color w:val="000000"/>
          <w:sz w:val="28"/>
        </w:rPr>
        <w:t>7.4 构建与部署</w:t>
      </w:r>
      <w:bookmarkEnd w:id="71"/>
    </w:p>
    <w:p w14:paraId="2FB1E6B2">
      <w:pPr>
        <w:pStyle w:val="5"/>
      </w:pPr>
      <w:bookmarkStart w:id="72" w:name="_Toc2130699092"/>
      <w:r>
        <w:rPr>
          <w:rFonts w:ascii="黑体" w:hAnsi="黑体" w:eastAsia="黑体"/>
          <w:color w:val="000000"/>
          <w:sz w:val="24"/>
        </w:rPr>
        <w:t>7.4.1 前端构建</w:t>
      </w:r>
      <w:bookmarkEnd w:id="72"/>
    </w:p>
    <w:p w14:paraId="69318EE0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前端使用Vite进行构建，执行 pnpm build 命令后，Vite会将Vue源码编译为静态HTML、CSS、JS文件，输出到dist目录。构建产物可直接部署到Nginx、Apache等静态Web服务器，或通过后端Express的static中间件提供访问。</w:t>
      </w:r>
    </w:p>
    <w:p w14:paraId="6052CD1E">
      <w:pPr>
        <w:pStyle w:val="5"/>
      </w:pPr>
      <w:bookmarkStart w:id="73" w:name="_Toc1369825519"/>
      <w:r>
        <w:rPr>
          <w:rFonts w:ascii="黑体" w:hAnsi="黑体" w:eastAsia="黑体"/>
          <w:color w:val="000000"/>
          <w:sz w:val="24"/>
        </w:rPr>
        <w:t>7.4.2 后端构建</w:t>
      </w:r>
      <w:bookmarkEnd w:id="73"/>
    </w:p>
    <w:p w14:paraId="1B7FC854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后端TypeScript代码通过tsc（TypeScript编译器）编译为JavaScript，输出到dist目录。编译后的代码可在纯Node.js环境中运行，无需TypeScript运行时依赖。</w:t>
      </w:r>
    </w:p>
    <w:p w14:paraId="6D5E83B9">
      <w:pPr>
        <w:pStyle w:val="5"/>
      </w:pPr>
      <w:bookmarkStart w:id="74" w:name="_Toc1632801993"/>
      <w:r>
        <w:rPr>
          <w:rFonts w:ascii="黑体" w:hAnsi="黑体" w:eastAsia="黑体"/>
          <w:color w:val="000000"/>
          <w:sz w:val="24"/>
        </w:rPr>
        <w:t>7.4.3 生产部署</w:t>
      </w:r>
      <w:bookmarkEnd w:id="74"/>
    </w:p>
    <w:p w14:paraId="61E992FA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生产部署支持两种方式：</w:t>
      </w:r>
    </w:p>
    <w:p w14:paraId="2181D57C">
      <w:pPr>
        <w:pStyle w:val="16"/>
        <w:spacing w:line="360" w:lineRule="auto"/>
      </w:pPr>
      <w:r>
        <w:rPr>
          <w:rFonts w:ascii="宋体" w:hAnsi="宋体" w:eastAsia="宋体"/>
          <w:sz w:val="22"/>
        </w:rPr>
        <w:t>直接部署：将构建后的前后端产物部署到服务器，前端静态文件由Nginx提供服务并反向代理后端API。</w:t>
      </w:r>
    </w:p>
    <w:p w14:paraId="5BD6BDBC">
      <w:pPr>
        <w:pStyle w:val="16"/>
        <w:spacing w:line="360" w:lineRule="auto"/>
      </w:pPr>
      <w:r>
        <w:rPr>
          <w:rFonts w:ascii="宋体" w:hAnsi="宋体" w:eastAsia="宋体"/>
          <w:sz w:val="22"/>
        </w:rPr>
        <w:t>容器化部署：使用Docker构建镜像，通过Docker Compose编排多容器部署，实现弹性伸缩和环境一致性。</w:t>
      </w:r>
    </w:p>
    <w:p w14:paraId="2BA4ECA9">
      <w:pPr>
        <w:pStyle w:val="4"/>
      </w:pPr>
      <w:bookmarkStart w:id="75" w:name="_Toc1957054985"/>
      <w:r>
        <w:rPr>
          <w:rFonts w:ascii="黑体" w:hAnsi="黑体" w:eastAsia="黑体"/>
          <w:color w:val="000000"/>
          <w:sz w:val="28"/>
        </w:rPr>
        <w:t>7.5 环境变量</w:t>
      </w:r>
      <w:bookmarkEnd w:id="7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1871"/>
        <w:gridCol w:w="4753"/>
      </w:tblGrid>
      <w:tr w14:paraId="73EFD306">
        <w:trPr>
          <w:jc w:val="center"/>
        </w:trPr>
        <w:tc>
          <w:tcPr>
            <w:tcW w:w="2882" w:type="dxa"/>
            <w:shd w:val="clear" w:color="auto" w:fill="D9E2F3"/>
          </w:tcPr>
          <w:p w14:paraId="757F522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变量名</w:t>
            </w:r>
          </w:p>
        </w:tc>
        <w:tc>
          <w:tcPr>
            <w:tcW w:w="2882" w:type="dxa"/>
            <w:shd w:val="clear" w:color="auto" w:fill="D9E2F3"/>
          </w:tcPr>
          <w:p w14:paraId="60B9BFA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  <w:tc>
          <w:tcPr>
            <w:tcW w:w="2882" w:type="dxa"/>
            <w:shd w:val="clear" w:color="auto" w:fill="D9E2F3"/>
          </w:tcPr>
          <w:p w14:paraId="57BCDAAE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默认值</w:t>
            </w:r>
          </w:p>
        </w:tc>
      </w:tr>
      <w:tr w14:paraId="57971B44">
        <w:trPr>
          <w:jc w:val="center"/>
        </w:trPr>
        <w:tc>
          <w:tcPr>
            <w:tcW w:w="2882" w:type="dxa"/>
          </w:tcPr>
          <w:p w14:paraId="55FCCF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PORT</w:t>
            </w:r>
          </w:p>
        </w:tc>
        <w:tc>
          <w:tcPr>
            <w:tcW w:w="2882" w:type="dxa"/>
          </w:tcPr>
          <w:p w14:paraId="031EA4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后端服务端口号</w:t>
            </w:r>
          </w:p>
        </w:tc>
        <w:tc>
          <w:tcPr>
            <w:tcW w:w="2882" w:type="dxa"/>
          </w:tcPr>
          <w:p w14:paraId="3BFB94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3000</w:t>
            </w:r>
          </w:p>
        </w:tc>
      </w:tr>
      <w:tr w14:paraId="446ADF2A">
        <w:trPr>
          <w:jc w:val="center"/>
        </w:trPr>
        <w:tc>
          <w:tcPr>
            <w:tcW w:w="2882" w:type="dxa"/>
          </w:tcPr>
          <w:p w14:paraId="0B76A6D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DATABASE_URL</w:t>
            </w:r>
          </w:p>
        </w:tc>
        <w:tc>
          <w:tcPr>
            <w:tcW w:w="2882" w:type="dxa"/>
          </w:tcPr>
          <w:p w14:paraId="10AE65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PostgreSQL连接字符串</w:t>
            </w:r>
          </w:p>
        </w:tc>
        <w:tc>
          <w:tcPr>
            <w:tcW w:w="2882" w:type="dxa"/>
          </w:tcPr>
          <w:p w14:paraId="25F7DAF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postgresql://postgres:postgres@localhost:5432/cec_coding</w:t>
            </w:r>
          </w:p>
        </w:tc>
      </w:tr>
      <w:tr w14:paraId="771FE91E">
        <w:trPr>
          <w:jc w:val="center"/>
        </w:trPr>
        <w:tc>
          <w:tcPr>
            <w:tcW w:w="2882" w:type="dxa"/>
          </w:tcPr>
          <w:p w14:paraId="2D9286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JWT_SECRET</w:t>
            </w:r>
          </w:p>
        </w:tc>
        <w:tc>
          <w:tcPr>
            <w:tcW w:w="2882" w:type="dxa"/>
          </w:tcPr>
          <w:p w14:paraId="7D9BDD3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JWT签名密钥</w:t>
            </w:r>
          </w:p>
        </w:tc>
        <w:tc>
          <w:tcPr>
            <w:tcW w:w="2882" w:type="dxa"/>
          </w:tcPr>
          <w:p w14:paraId="755561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（必须自定义设置）</w:t>
            </w:r>
          </w:p>
        </w:tc>
      </w:tr>
      <w:tr w14:paraId="34D84EEA">
        <w:trPr>
          <w:jc w:val="center"/>
        </w:trPr>
        <w:tc>
          <w:tcPr>
            <w:tcW w:w="2882" w:type="dxa"/>
          </w:tcPr>
          <w:p w14:paraId="11F0CA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JWT_EXPIRES_IN</w:t>
            </w:r>
          </w:p>
        </w:tc>
        <w:tc>
          <w:tcPr>
            <w:tcW w:w="2882" w:type="dxa"/>
          </w:tcPr>
          <w:p w14:paraId="7B6C1B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JWT令牌有效期</w:t>
            </w:r>
          </w:p>
        </w:tc>
        <w:tc>
          <w:tcPr>
            <w:tcW w:w="2882" w:type="dxa"/>
          </w:tcPr>
          <w:p w14:paraId="12DBCF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8h</w:t>
            </w:r>
          </w:p>
        </w:tc>
      </w:tr>
      <w:tr w14:paraId="6F56C526">
        <w:trPr>
          <w:jc w:val="center"/>
        </w:trPr>
        <w:tc>
          <w:tcPr>
            <w:tcW w:w="2882" w:type="dxa"/>
          </w:tcPr>
          <w:p w14:paraId="537B46F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CORS_ORIGIN</w:t>
            </w:r>
          </w:p>
        </w:tc>
        <w:tc>
          <w:tcPr>
            <w:tcW w:w="2882" w:type="dxa"/>
          </w:tcPr>
          <w:p w14:paraId="063D02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允许的跨域来源</w:t>
            </w:r>
          </w:p>
        </w:tc>
        <w:tc>
          <w:tcPr>
            <w:tcW w:w="2882" w:type="dxa"/>
          </w:tcPr>
          <w:p w14:paraId="70BD8C3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http://localhost:5173</w:t>
            </w:r>
          </w:p>
        </w:tc>
      </w:tr>
      <w:tr w14:paraId="6461ACFC">
        <w:trPr>
          <w:jc w:val="center"/>
        </w:trPr>
        <w:tc>
          <w:tcPr>
            <w:tcW w:w="2882" w:type="dxa"/>
          </w:tcPr>
          <w:p w14:paraId="1C2CB85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LOG_LEVEL</w:t>
            </w:r>
          </w:p>
        </w:tc>
        <w:tc>
          <w:tcPr>
            <w:tcW w:w="2882" w:type="dxa"/>
          </w:tcPr>
          <w:p w14:paraId="62CACAF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日志级别</w:t>
            </w:r>
          </w:p>
        </w:tc>
        <w:tc>
          <w:tcPr>
            <w:tcW w:w="2882" w:type="dxa"/>
          </w:tcPr>
          <w:p w14:paraId="3A59E13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debug</w:t>
            </w:r>
          </w:p>
        </w:tc>
      </w:tr>
      <w:tr w14:paraId="6A9228A9">
        <w:trPr>
          <w:jc w:val="center"/>
        </w:trPr>
        <w:tc>
          <w:tcPr>
            <w:tcW w:w="2882" w:type="dxa"/>
          </w:tcPr>
          <w:p w14:paraId="67C6237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CACHE_TTL</w:t>
            </w:r>
          </w:p>
        </w:tc>
        <w:tc>
          <w:tcPr>
            <w:tcW w:w="2882" w:type="dxa"/>
          </w:tcPr>
          <w:p w14:paraId="47574D5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缓存TTL（秒）</w:t>
            </w:r>
          </w:p>
        </w:tc>
        <w:tc>
          <w:tcPr>
            <w:tcW w:w="2882" w:type="dxa"/>
          </w:tcPr>
          <w:p w14:paraId="2E6956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300</w:t>
            </w:r>
          </w:p>
        </w:tc>
      </w:tr>
      <w:tr w14:paraId="0678A313">
        <w:trPr>
          <w:jc w:val="center"/>
        </w:trPr>
        <w:tc>
          <w:tcPr>
            <w:tcW w:w="2882" w:type="dxa"/>
          </w:tcPr>
          <w:p w14:paraId="546C116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NODE_ENV</w:t>
            </w:r>
          </w:p>
        </w:tc>
        <w:tc>
          <w:tcPr>
            <w:tcW w:w="2882" w:type="dxa"/>
          </w:tcPr>
          <w:p w14:paraId="36184BB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运行环境</w:t>
            </w:r>
          </w:p>
        </w:tc>
        <w:tc>
          <w:tcPr>
            <w:tcW w:w="2882" w:type="dxa"/>
          </w:tcPr>
          <w:p w14:paraId="74AAC3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development</w:t>
            </w:r>
          </w:p>
        </w:tc>
      </w:tr>
    </w:tbl>
    <w:p w14:paraId="0A798517"/>
    <w:p w14:paraId="70189998">
      <w:pPr>
        <w:pStyle w:val="3"/>
      </w:pPr>
      <w:bookmarkStart w:id="76" w:name="_Toc1363595443"/>
      <w:r>
        <w:rPr>
          <w:rFonts w:ascii="黑体" w:hAnsi="黑体" w:eastAsia="黑体"/>
          <w:color w:val="000000"/>
          <w:sz w:val="32"/>
        </w:rPr>
        <w:t>8. 关键设计决策（ADR）</w:t>
      </w:r>
      <w:bookmarkEnd w:id="76"/>
    </w:p>
    <w:p w14:paraId="46F10A61">
      <w:pPr>
        <w:pStyle w:val="4"/>
      </w:pPr>
      <w:bookmarkStart w:id="77" w:name="_Toc3129717"/>
      <w:r>
        <w:rPr>
          <w:rFonts w:ascii="黑体" w:hAnsi="黑体" w:eastAsia="黑体"/>
          <w:color w:val="000000"/>
          <w:sz w:val="28"/>
        </w:rPr>
        <w:t>8.1 ADR-001: 选择pg原生驱动而非ORM</w:t>
      </w:r>
      <w:bookmarkEnd w:id="77"/>
    </w:p>
    <w:p w14:paraId="3C7FB8D4">
      <w:pPr>
        <w:pStyle w:val="5"/>
      </w:pPr>
      <w:bookmarkStart w:id="78" w:name="_Toc1061546091"/>
      <w:r>
        <w:rPr>
          <w:rFonts w:ascii="黑体" w:hAnsi="黑体" w:eastAsia="黑体"/>
          <w:color w:val="000000"/>
          <w:sz w:val="24"/>
        </w:rPr>
        <w:t>8.1.1 决策</w:t>
      </w:r>
      <w:bookmarkEnd w:id="78"/>
    </w:p>
    <w:p w14:paraId="6B905BB2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采用pg（node-postgres）原生数据库驱动，不引入ORM（如Prisma、TypeORM、Sequelize等）。</w:t>
      </w:r>
    </w:p>
    <w:p w14:paraId="166EBB57">
      <w:pPr>
        <w:pStyle w:val="5"/>
      </w:pPr>
      <w:bookmarkStart w:id="79" w:name="_Toc111012161"/>
      <w:r>
        <w:rPr>
          <w:rFonts w:ascii="黑体" w:hAnsi="黑体" w:eastAsia="黑体"/>
          <w:color w:val="000000"/>
          <w:sz w:val="24"/>
        </w:rPr>
        <w:t>8.1.2 理由</w:t>
      </w:r>
      <w:bookmarkEnd w:id="79"/>
    </w:p>
    <w:p w14:paraId="7E471F6E">
      <w:pPr>
        <w:pStyle w:val="16"/>
        <w:spacing w:line="360" w:lineRule="auto"/>
      </w:pPr>
      <w:r>
        <w:rPr>
          <w:rFonts w:ascii="宋体" w:hAnsi="宋体" w:eastAsia="宋体"/>
          <w:sz w:val="22"/>
        </w:rPr>
        <w:t>SQL学习：团队成员可以保持和提升SQL编写能力，对数据库的理解更加深入。</w:t>
      </w:r>
    </w:p>
    <w:p w14:paraId="1CCF00A0">
      <w:pPr>
        <w:pStyle w:val="16"/>
        <w:spacing w:line="360" w:lineRule="auto"/>
      </w:pPr>
      <w:r>
        <w:rPr>
          <w:rFonts w:ascii="宋体" w:hAnsi="宋体" w:eastAsia="宋体"/>
          <w:sz w:val="22"/>
        </w:rPr>
        <w:t>轻量无依赖：不需要额外安装ORM库和其依赖，减少了包体积和潜在的兼容性问题。</w:t>
      </w:r>
    </w:p>
    <w:p w14:paraId="47EBBFA0">
      <w:pPr>
        <w:pStyle w:val="16"/>
        <w:spacing w:line="360" w:lineRule="auto"/>
      </w:pPr>
      <w:r>
        <w:rPr>
          <w:rFonts w:ascii="宋体" w:hAnsi="宋体" w:eastAsia="宋体"/>
          <w:sz w:val="22"/>
        </w:rPr>
        <w:t>完全控制：开发人员对执行的SQL有完全的控制权，不存在ORM隐式生成的性能问题。</w:t>
      </w:r>
    </w:p>
    <w:p w14:paraId="5D39A26A">
      <w:pPr>
        <w:pStyle w:val="16"/>
        <w:spacing w:line="360" w:lineRule="auto"/>
      </w:pPr>
      <w:r>
        <w:rPr>
          <w:rFonts w:ascii="宋体" w:hAnsi="宋体" w:eastAsia="宋体"/>
          <w:sz w:val="22"/>
        </w:rPr>
        <w:t>多租户友好：动态Schema切换原生SQL更容易表达，ORM通常需要额外的租户插件或hack。</w:t>
      </w:r>
    </w:p>
    <w:p w14:paraId="727F8C41">
      <w:pPr>
        <w:pStyle w:val="4"/>
      </w:pPr>
      <w:bookmarkStart w:id="80" w:name="_Toc1765584331"/>
      <w:r>
        <w:rPr>
          <w:rFonts w:ascii="黑体" w:hAnsi="黑体" w:eastAsia="黑体"/>
          <w:color w:val="000000"/>
          <w:sz w:val="28"/>
        </w:rPr>
        <w:t>8.2 ADR-002: Schema级多租户隔离</w:t>
      </w:r>
      <w:bookmarkEnd w:id="80"/>
    </w:p>
    <w:p w14:paraId="3D3CBA38">
      <w:pPr>
        <w:pStyle w:val="5"/>
      </w:pPr>
      <w:bookmarkStart w:id="81" w:name="_Toc246816871"/>
      <w:r>
        <w:rPr>
          <w:rFonts w:ascii="黑体" w:hAnsi="黑体" w:eastAsia="黑体"/>
          <w:color w:val="000000"/>
          <w:sz w:val="24"/>
        </w:rPr>
        <w:t>8.2.1 决策</w:t>
      </w:r>
      <w:bookmarkEnd w:id="81"/>
    </w:p>
    <w:p w14:paraId="0226F33A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采用PostgreSQL Schema级隔离方案实现多租户，每个租户一个独立的Schema。</w:t>
      </w:r>
    </w:p>
    <w:p w14:paraId="7E11FF11">
      <w:pPr>
        <w:pStyle w:val="5"/>
      </w:pPr>
      <w:bookmarkStart w:id="82" w:name="_Toc1460228540"/>
      <w:r>
        <w:rPr>
          <w:rFonts w:ascii="黑体" w:hAnsi="黑体" w:eastAsia="黑体"/>
          <w:color w:val="000000"/>
          <w:sz w:val="24"/>
        </w:rPr>
        <w:t>8.2.2 理由</w:t>
      </w:r>
      <w:bookmarkEnd w:id="82"/>
    </w:p>
    <w:p w14:paraId="6A86C8F2">
      <w:pPr>
        <w:pStyle w:val="16"/>
        <w:spacing w:line="360" w:lineRule="auto"/>
      </w:pPr>
      <w:r>
        <w:rPr>
          <w:rFonts w:ascii="宋体" w:hAnsi="宋体" w:eastAsia="宋体"/>
          <w:sz w:val="22"/>
        </w:rPr>
        <w:t>数据隔离彻底：不同租户的数据存储在不同的Schema中，从数据库层面确保数据互不可见。</w:t>
      </w:r>
    </w:p>
    <w:p w14:paraId="4D009893">
      <w:pPr>
        <w:pStyle w:val="16"/>
        <w:spacing w:line="360" w:lineRule="auto"/>
      </w:pPr>
      <w:r>
        <w:rPr>
          <w:rFonts w:ascii="宋体" w:hAnsi="宋体" w:eastAsia="宋体"/>
          <w:sz w:val="22"/>
        </w:rPr>
        <w:t>表结构一致：所有Schema中的表结构保持完全一致，代码逻辑无需针对不同租户做特殊处理。</w:t>
      </w:r>
    </w:p>
    <w:p w14:paraId="76FD0AE7">
      <w:pPr>
        <w:pStyle w:val="16"/>
        <w:spacing w:line="360" w:lineRule="auto"/>
      </w:pPr>
      <w:r>
        <w:rPr>
          <w:rFonts w:ascii="宋体" w:hAnsi="宋体" w:eastAsia="宋体"/>
          <w:sz w:val="22"/>
        </w:rPr>
        <w:t>备份恢复灵活：可以针对单个租户的Schema进行独立的备份和恢复操作。</w:t>
      </w:r>
    </w:p>
    <w:p w14:paraId="51A02AE6">
      <w:pPr>
        <w:pStyle w:val="16"/>
        <w:spacing w:line="360" w:lineRule="auto"/>
      </w:pPr>
      <w:r>
        <w:rPr>
          <w:rFonts w:ascii="宋体" w:hAnsi="宋体" w:eastAsia="宋体"/>
          <w:sz w:val="22"/>
        </w:rPr>
        <w:t>扩展方便：新增租户时只需复制Schema模板并初始化数据，无需修改应用代码。</w:t>
      </w:r>
    </w:p>
    <w:p w14:paraId="5D4A69E0">
      <w:pPr>
        <w:pStyle w:val="4"/>
      </w:pPr>
      <w:bookmarkStart w:id="83" w:name="_Toc617953864"/>
      <w:r>
        <w:rPr>
          <w:rFonts w:ascii="黑体" w:hAnsi="黑体" w:eastAsia="黑体"/>
          <w:color w:val="000000"/>
          <w:sz w:val="28"/>
        </w:rPr>
        <w:t>8.3 ADR-003: 内存缓存字典树</w:t>
      </w:r>
      <w:bookmarkEnd w:id="83"/>
    </w:p>
    <w:p w14:paraId="4A5EB93A">
      <w:pPr>
        <w:pStyle w:val="5"/>
      </w:pPr>
      <w:bookmarkStart w:id="84" w:name="_Toc719675356"/>
      <w:r>
        <w:rPr>
          <w:rFonts w:ascii="黑体" w:hAnsi="黑体" w:eastAsia="黑体"/>
          <w:color w:val="000000"/>
          <w:sz w:val="24"/>
        </w:rPr>
        <w:t>8.3.1 决策</w:t>
      </w:r>
      <w:bookmarkEnd w:id="84"/>
    </w:p>
    <w:p w14:paraId="77D323FF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字典树数据采用进程内存缓存，配合TTL机制确保时效性。</w:t>
      </w:r>
    </w:p>
    <w:p w14:paraId="63F32D03">
      <w:pPr>
        <w:pStyle w:val="5"/>
      </w:pPr>
      <w:bookmarkStart w:id="85" w:name="_Toc955808388"/>
      <w:r>
        <w:rPr>
          <w:rFonts w:ascii="黑体" w:hAnsi="黑体" w:eastAsia="黑体"/>
          <w:color w:val="000000"/>
          <w:sz w:val="24"/>
        </w:rPr>
        <w:t>8.3.2 理由</w:t>
      </w:r>
      <w:bookmarkEnd w:id="85"/>
    </w:p>
    <w:p w14:paraId="501DE6FF">
      <w:pPr>
        <w:pStyle w:val="16"/>
        <w:spacing w:line="360" w:lineRule="auto"/>
      </w:pPr>
      <w:r>
        <w:rPr>
          <w:rFonts w:ascii="宋体" w:hAnsi="宋体" w:eastAsia="宋体"/>
          <w:sz w:val="22"/>
        </w:rPr>
        <w:t>高频读低频写：字典数据在编码生成和校验过程中被高频读取，但变更频率较低。</w:t>
      </w:r>
    </w:p>
    <w:p w14:paraId="4EE5653D">
      <w:pPr>
        <w:pStyle w:val="16"/>
        <w:spacing w:line="360" w:lineRule="auto"/>
      </w:pPr>
      <w:r>
        <w:rPr>
          <w:rFonts w:ascii="宋体" w:hAnsi="宋体" w:eastAsia="宋体"/>
          <w:sz w:val="22"/>
        </w:rPr>
        <w:t>TTL机制：设置合理的TTL（如5分钟），在读性能和数据新鲜度之间取得平衡。</w:t>
      </w:r>
    </w:p>
    <w:p w14:paraId="2309DE52">
      <w:pPr>
        <w:pStyle w:val="16"/>
        <w:spacing w:line="360" w:lineRule="auto"/>
      </w:pPr>
      <w:r>
        <w:rPr>
          <w:rFonts w:ascii="宋体" w:hAnsi="宋体" w:eastAsia="宋体"/>
          <w:sz w:val="22"/>
        </w:rPr>
        <w:t>实现简单：使用Map对象即可实现，无需引入Redis等外部缓存组件，降低系统复杂度。</w:t>
      </w:r>
    </w:p>
    <w:p w14:paraId="6D4350A6">
      <w:pPr>
        <w:pStyle w:val="4"/>
      </w:pPr>
      <w:bookmarkStart w:id="86" w:name="_Toc1093897556"/>
      <w:r>
        <w:rPr>
          <w:rFonts w:ascii="黑体" w:hAnsi="黑体" w:eastAsia="黑体"/>
          <w:color w:val="000000"/>
          <w:sz w:val="28"/>
        </w:rPr>
        <w:t>8.4 ADR-004: 运行时动态数据源切换</w:t>
      </w:r>
      <w:bookmarkEnd w:id="86"/>
    </w:p>
    <w:p w14:paraId="0E01FD18">
      <w:pPr>
        <w:pStyle w:val="5"/>
      </w:pPr>
      <w:bookmarkStart w:id="87" w:name="_Toc528721725"/>
      <w:r>
        <w:rPr>
          <w:rFonts w:ascii="黑体" w:hAnsi="黑体" w:eastAsia="黑体"/>
          <w:color w:val="000000"/>
          <w:sz w:val="24"/>
        </w:rPr>
        <w:t>8.4.1 决策</w:t>
      </w:r>
      <w:bookmarkEnd w:id="87"/>
    </w:p>
    <w:p w14:paraId="2AA11454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数据源在运行时动态切换，无需重启服务即可切换目标数据库Schema。</w:t>
      </w:r>
    </w:p>
    <w:p w14:paraId="44A2EBF3">
      <w:pPr>
        <w:pStyle w:val="5"/>
      </w:pPr>
      <w:bookmarkStart w:id="88" w:name="_Toc2086184436"/>
      <w:r>
        <w:rPr>
          <w:rFonts w:ascii="黑体" w:hAnsi="黑体" w:eastAsia="黑体"/>
          <w:color w:val="000000"/>
          <w:sz w:val="24"/>
        </w:rPr>
        <w:t>8.4.2 理由</w:t>
      </w:r>
      <w:bookmarkEnd w:id="88"/>
    </w:p>
    <w:p w14:paraId="1D892BBC">
      <w:pPr>
        <w:pStyle w:val="16"/>
        <w:spacing w:line="360" w:lineRule="auto"/>
      </w:pPr>
      <w:r>
        <w:rPr>
          <w:rFonts w:ascii="宋体" w:hAnsi="宋体" w:eastAsia="宋体"/>
          <w:sz w:val="22"/>
        </w:rPr>
        <w:t>无需重启服务：新增租户或切换租户时不需要重启Node.js进程，保证服务的持续可用性。</w:t>
      </w:r>
    </w:p>
    <w:p w14:paraId="0B1EC78C">
      <w:pPr>
        <w:pStyle w:val="16"/>
        <w:spacing w:line="360" w:lineRule="auto"/>
      </w:pPr>
      <w:r>
        <w:rPr>
          <w:rFonts w:ascii="宋体" w:hAnsi="宋体" w:eastAsia="宋体"/>
          <w:sz w:val="22"/>
        </w:rPr>
        <w:t>连接池复用：所有租户共享同一个数据库连接池，通过设置search_path实现Schema切换，资源利用率更高。</w:t>
      </w:r>
    </w:p>
    <w:p w14:paraId="09CD75D1">
      <w:pPr>
        <w:pStyle w:val="16"/>
        <w:spacing w:line="360" w:lineRule="auto"/>
      </w:pPr>
      <w:r>
        <w:rPr>
          <w:rFonts w:ascii="宋体" w:hAnsi="宋体" w:eastAsia="宋体"/>
          <w:sz w:val="22"/>
        </w:rPr>
        <w:t>部署简化：相比多数据库实例方案，单一数据库多Schema的管理和部署更加简单。</w:t>
      </w:r>
    </w:p>
    <w:p w14:paraId="50D0ABE1">
      <w:pPr>
        <w:pStyle w:val="4"/>
      </w:pPr>
      <w:bookmarkStart w:id="89" w:name="_Toc536311283"/>
      <w:r>
        <w:rPr>
          <w:rFonts w:ascii="黑体" w:hAnsi="黑体" w:eastAsia="黑体"/>
          <w:color w:val="000000"/>
          <w:sz w:val="28"/>
        </w:rPr>
        <w:t>8.5 ADR-005: 前端路由守卫认证</w:t>
      </w:r>
      <w:bookmarkEnd w:id="89"/>
    </w:p>
    <w:p w14:paraId="23AAD984">
      <w:pPr>
        <w:pStyle w:val="5"/>
      </w:pPr>
      <w:bookmarkStart w:id="90" w:name="_Toc794866922"/>
      <w:r>
        <w:rPr>
          <w:rFonts w:ascii="黑体" w:hAnsi="黑体" w:eastAsia="黑体"/>
          <w:color w:val="000000"/>
          <w:sz w:val="24"/>
        </w:rPr>
        <w:t>8.5.1 决策</w:t>
      </w:r>
      <w:bookmarkEnd w:id="90"/>
    </w:p>
    <w:p w14:paraId="4E41C5A4">
      <w:pPr>
        <w:spacing w:line="360" w:lineRule="auto"/>
        <w:ind w:firstLine="440"/>
      </w:pPr>
      <w:r>
        <w:rPr>
          <w:rFonts w:ascii="宋体" w:hAnsi="宋体" w:eastAsia="宋体"/>
          <w:b w:val="0"/>
          <w:sz w:val="22"/>
        </w:rPr>
        <w:t>前端采用Vue Router的beforeEach守卫配合Pinia store实现轻量级认证方案。</w:t>
      </w:r>
    </w:p>
    <w:p w14:paraId="5DA947F5">
      <w:pPr>
        <w:pStyle w:val="5"/>
      </w:pPr>
      <w:bookmarkStart w:id="91" w:name="_Toc1980073714"/>
      <w:r>
        <w:rPr>
          <w:rFonts w:ascii="黑体" w:hAnsi="黑体" w:eastAsia="黑体"/>
          <w:color w:val="000000"/>
          <w:sz w:val="24"/>
        </w:rPr>
        <w:t>8.5.2 理由</w:t>
      </w:r>
      <w:bookmarkEnd w:id="91"/>
    </w:p>
    <w:p w14:paraId="51BA2BB0">
      <w:pPr>
        <w:pStyle w:val="16"/>
        <w:spacing w:line="360" w:lineRule="auto"/>
      </w:pPr>
      <w:r>
        <w:rPr>
          <w:rFonts w:ascii="宋体" w:hAnsi="宋体" w:eastAsia="宋体"/>
          <w:sz w:val="22"/>
        </w:rPr>
        <w:t>轻量级方案：不需要引入额外的认证库或框架，利用Vue Router原生能力即可实现。</w:t>
      </w:r>
    </w:p>
    <w:p w14:paraId="66B708C1">
      <w:pPr>
        <w:pStyle w:val="16"/>
        <w:spacing w:line="360" w:lineRule="auto"/>
      </w:pPr>
      <w:r>
        <w:rPr>
          <w:rFonts w:ascii="宋体" w:hAnsi="宋体" w:eastAsia="宋体"/>
          <w:sz w:val="22"/>
        </w:rPr>
        <w:t>用户体验好：用户访问受保护页面时，守卫自动检测登录态，未登录时平滑跳转到登录页面，登录后自动跳回目标页面。</w:t>
      </w:r>
    </w:p>
    <w:p w14:paraId="0F3EF0EB">
      <w:pPr>
        <w:pStyle w:val="16"/>
        <w:spacing w:line="360" w:lineRule="auto"/>
      </w:pPr>
      <w:r>
        <w:rPr>
          <w:rFonts w:ascii="宋体" w:hAnsi="宋体" w:eastAsia="宋体"/>
          <w:sz w:val="22"/>
        </w:rPr>
        <w:t>前后端分离：认证状态在前端维护，后端通过JWT无状态认证，不依赖服务端会话。</w:t>
      </w: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BBFA3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68">
    <w:name w:val="WPSOffice手动目录 2"/>
    <w:uiPriority w:val="0"/>
    <w:pPr>
      <w:ind w:leftChars="200"/>
    </w:pPr>
    <w:rPr>
      <w:sz w:val="20"/>
      <w:szCs w:val="20"/>
    </w:rPr>
  </w:style>
  <w:style w:type="paragraph" w:customStyle="1" w:styleId="169">
    <w:name w:val="WPSOffice手动目录 3"/>
    <w:uiPriority w:val="0"/>
    <w:pPr>
      <w:ind w:leftChars="4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刘浩君</cp:lastModifiedBy>
  <dcterms:modified xsi:type="dcterms:W3CDTF">2026-05-30T21:50:46Z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C61CB7DAECBC09BE36EB1A6AF41448DA_42</vt:lpwstr>
  </property>
</Properties>
</file>