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40" w:lineRule="auto" w:before="0" w:after="0"/>
        <w:ind w:firstLine="0"/>
      </w:pPr>
      <w:r>
        <w:rPr>
          <w:rFonts w:ascii="Times New Roman" w:hAnsi="Times New Roman" w:eastAsia="標楷體" w:cs="Times New Roman"/>
          <w:color w:val="000000"/>
          <w:sz w:val="36"/>
        </w:rPr>
        <w:t>系統簡介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組    別：第115203組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專題名稱： 植葉神醫 Plant Doctor - 植物病害診斷系統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指導教師： 陳信宏老師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專題學生： 11436016龔正源、11436014 林東建、11436015 陳浩民、11436022 周昱潤、11436023 施奕安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前言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植葉神醫 Plant Doctor 結合 Android、FastAPI、MySQL 與 Google Gemini，提供植物狀態初步判讀及照護參考。使用者拍照或選圖後，須確認結果才建立正式日誌；圖片存於檔案系統，資料庫保存診斷與路徑。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系統功能簡介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已實作註冊、信箱驗證、登入、登出、密碼重設、影像分析、確認儲存、歷史查詢及註記，另有 Webcam 監控與管理後台。瀏覽器端可查詢、確認及刪除警報；Android 尚無警報管理畫面。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系統使用對象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適用於居家植栽照護者、辦公室綠植使用者、園藝新手，以及需要記錄植物健康變化的使用者。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系統特色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整合影像候選判讀、資料庫校驗與個人紀錄，保留來源、模型信心及需複核標記。監控依工作階段與區域分開累計；unknown 或需複核結果不觸發警報。模型信心不等於準確率，來源完整也不代表已獲專業核准。</w:t>
      </w:r>
    </w:p>
    <w:p>
      <w:pPr>
        <w:pStyle w:val="Heading2"/>
        <w:pageBreakBefore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系統開發工具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前端：Kotlin、Android XML、Retrofit、Gson。後端：Python、FastAPI、SQLAlchemy、PyMySQL、Pillow、google-genai、FAISS、Alembic、Jinja2。以 Git 管理版本，提供 Docker 部署設定。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系統使用環境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使用者端需 Android 8.0 以上及網路連線；瀏覽器監控需相機授權。伺服器端需 Python 3.10 以上、MySQL、Gemini API 及 SMTP 設定；正式部署另需 HTTPS 與安全設定。</w:t>
      </w:r>
    </w:p>
    <w:p>
      <w:pPr>
        <w:pStyle w:val="Heading2"/>
        <w:spacing w:line="240" w:lineRule="auto" w:before="0" w:after="0"/>
      </w:pPr>
      <w:r>
        <w:rPr>
          <w:rFonts w:ascii="Times New Roman" w:hAnsi="Times New Roman" w:eastAsia="標楷體" w:cs="Times New Roman"/>
          <w:color w:val="000000"/>
          <w:sz w:val="32"/>
        </w:rPr>
        <w:t>結論及未來發展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已有功能實作與離線測試證據，尚未完成 Android SDK 建置、實機、正式 MySQL、真實 Gemini 與 SMTP 的整合驗收。後續將以具標註、固定版本的影像評估辨識成效。本系統僅供照護參考，不能取代專業診斷。</w:t>
      </w:r>
    </w:p>
    <w:p>
      <w:pPr>
        <w:spacing w:line="240" w:lineRule="auto" w:before="0" w:after="0"/>
        <w:ind w:firstLine="560"/>
      </w:pPr>
      <w:r>
        <w:rPr>
          <w:rFonts w:ascii="Times New Roman" w:hAnsi="Times New Roman" w:eastAsia="標楷體" w:cs="Times New Roman"/>
          <w:color w:val="000000"/>
          <w:sz w:val="28"/>
        </w:rPr>
        <w:t>AI 揭露：[AI-1] Gemini 用於系統影像判讀與文字向量；[AI-3] Codex 協助本次簡介整理與規範核對。工具說明及頁碼索引見完整手冊第 14 章。</w:t>
      </w:r>
    </w:p>
    <w:sectPr w:rsidR="00FC693F" w:rsidRPr="0006063C" w:rsidSect="00034616"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24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0" w:line="240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標楷體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0" w:after="0"/>
      <w:ind w:firstLine="0"/>
    </w:pPr>
    <w:rPr>
      <w:rFonts w:ascii="Times New Roman" w:hAnsi="Times New Roman" w:eastAsia="標楷體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 w:val="0"/>
      <w:spacing w:before="0" w:after="0" w:line="240" w:lineRule="auto"/>
      <w:ind w:firstLine="0"/>
      <w:outlineLvl w:val="9"/>
    </w:pPr>
    <w:rPr>
      <w:rFonts w:ascii="Times New Roman" w:hAnsi="Times New Roman" w:eastAsia="標楷體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Caption">
    <w:name w:val="TableCaption"/>
    <w:pPr>
      <w:keepNext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1">
    <w:name w:val="TOC 1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2">
    <w:name w:val="TOC 2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offigures">
    <w:name w:val="table of figures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