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header3.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7.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header1.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1.png" ContentType="image/png"/>
  <Override PartName="/word/media/rId22.png" ContentType="image/png"/>
  <Override PartName="/word/media/rId23.png" ContentType="image/png"/>
  <Override PartName="/word/media/rId2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本发明提出了一种证据冲突感知的可信开放集加密恶意流量检测方法及系统。该方法在不解密加密载荷的前提下，对网络边界、镜像探针或云安全网关采集到的 TLS、QUIC、VPN、DoH 等加密网络流量进行会话重组、多粒度侧信道特征提取和多模态证据建模；对流统计、包长方向时序、可见协议字段、字节摘要或时频特征、主机会话域名关系图等模态分别生成类别证据、模态不确定性和模态可靠度；根据各模态证据分布显式计算模态间冲突矩阵，并依据冲突度、可靠度和模态质量对证据进行自适应折扣和分级融合；再结合融合不确定性、全局冲突度、已知类原型距离、能量分数、最大已知类信念和场景分布偏离量计算开放集未知风险，输出已知正常、已知恶意、未知恶意候选或待确认结果。系统同时生成可审计证据包，维护未知候选池、已知类原型库和场景阈值表，并根据确认后的标注反馈更新原型、阈值、未知候选簇和模态可靠度统计。本发明能够降低未知加密恶意流量被高置信误判为已知类别的风险，提高多模态检测结果的可信性、可解释性、可复核性和持续适应能力。</w:t>
      </w:r>
    </w:p>
    <w:p>
      <w:pPr>
        <w:pStyle w:val="Figure"/>
      </w:pPr>
      <w:r>
        <w:drawing>
          <wp:inline>
            <wp:extent cx="5760720" cy="3533241"/>
            <wp:effectExtent b="0" l="0" r="0" t="0"/>
            <wp:docPr descr="" title="" id="1" name="Picture"/>
            <a:graphic>
              <a:graphicData uri="http://schemas.openxmlformats.org/drawingml/2006/picture">
                <pic:pic>
                  <pic:nvPicPr>
                    <pic:cNvPr descr="figures/图1_系统总体架构图_imagegen.png" id="0" name="Picture"/>
                    <pic:cNvPicPr>
                      <a:picLocks noChangeArrowheads="1" noChangeAspect="1"/>
                    </pic:cNvPicPr>
                  </pic:nvPicPr>
                  <pic:blipFill>
                    <a:blip r:embed="rId21"/>
                    <a:stretch>
                      <a:fillRect/>
                    </a:stretch>
                  </pic:blipFill>
                  <pic:spPr bwMode="auto">
                    <a:xfrm>
                      <a:off x="0" y="0"/>
                      <a:ext cx="5760720" cy="3533241"/>
                    </a:xfrm>
                    <a:prstGeom prst="rect">
                      <a:avLst/>
                    </a:prstGeom>
                    <a:noFill/>
                    <a:ln w="9525">
                      <a:noFill/>
                      <a:headEnd/>
                      <a:tailEnd/>
                    </a:ln>
                  </pic:spPr>
                </pic:pic>
              </a:graphicData>
            </a:graphic>
          </wp:inline>
        </w:drawing>
      </w:r>
    </w:p>
    <w:p>
      <w:pPr>
        <w:pStyle w:val="FirstParagraph"/>
      </w:pPr>
      <w:r>
        <w:rPr>
          <w:b/>
        </w:rPr>
        <w:t xml:space="preserve">一种证据冲突感知的可信开放集加密恶意流量检测方法及系统</w:t>
      </w:r>
    </w:p>
    <w:p>
      <w:pPr>
        <w:pStyle w:val="a9"/>
      </w:pPr>
      <w:r>
        <w:rPr>
          <w:b/>
        </w:rPr>
        <w:t xml:space="preserve">技术领域</w:t>
      </w:r>
    </w:p>
    <w:p>
      <w:pPr>
        <w:pStyle w:val="a9"/>
      </w:pPr>
      <w:r>
        <w:t xml:space="preserve">本发明涉及网络安全技术领域，尤其涉及一种证据冲突感知的可信开放集加密恶意流量检测方法及系统。更具体地说，本发明涉及在不解密网络载荷的条件下，对 TLS、QUIC、VPN、DoH、HTTPS 代理、加密隧道和匿名通信等流量进行已知恶意流量识别、未知恶意流量发现、可信风险评估、证据包输出和反馈更新的方法、系统、电子设备及计算机可读存储介质。本发明同时涉及加密流量分析、开放集识别、多模态融合、证据理论、不确定性估计、图关系建模、入侵检测和检测闭环等技术方向。</w:t>
      </w:r>
    </w:p>
    <w:p>
      <w:pPr>
        <w:pStyle w:val="a9"/>
      </w:pPr>
      <w:r>
        <w:rPr>
          <w:b/>
        </w:rPr>
        <w:t xml:space="preserve">背景技术</w:t>
      </w:r>
    </w:p>
    <w:p>
      <w:pPr>
        <w:pStyle w:val="a9"/>
      </w:pPr>
      <w:r>
        <w:t xml:space="preserve">随着互联网业务全面加密化，越来越多的 Web 访问、移动应用、物联网通信、远程办公、云服务访问和安全代理流量均通过 TLS、QUIC、VPN、DoH 等加密协议传输。加密协议保护了用户隐私和业务数据安全，但也使传统依赖明文载荷、关键字、协议字段和固定规则的深度包检测方法难以继续发挥作用。攻击者同样利用加密通道隐藏命令控制、木马回连、恶意下载、横向移动、代理转发、扫描探测和数据外传行为，使安全检测系统从“看内容”逐渐转向“看侧信道”。现有加密恶意流量检测技术通常利用流统计、五元组、包长分布、上下行方向序列、到达间隔、TLS/QUIC 握手元数据、证书摘要、JA3/JA4 指纹、SNI 可见字段、ALPN、字节摘要、时频特征以及主机与会话之间的关系图等特征进行检测。</w:t>
      </w:r>
    </w:p>
    <w:p>
      <w:pPr>
        <w:pStyle w:val="a9"/>
      </w:pPr>
      <w:r>
        <w:t xml:space="preserve">现有技术虽然能够在某些固定数据集或闭集分类场景中获得较好的识别效果，但真实网络环境中仍然存在若干突出的技术问题。第一，多数检测模型按照闭集分类方式训练，即训练阶段和测试阶段默认类别集合一致。当出现未知攻击族、新型恶意软件家族、新型加密隧道、新业务伪装流量或攻击者修改通信行为时，模型往往将未知样本强制归入某个已知类别，并且可能给出较高置信度。这类高置信误判在实际检测中危害更大，因为分析人员容易相信模型输出，从而漏掉真正的新型威胁。</w:t>
      </w:r>
    </w:p>
    <w:p>
      <w:pPr>
        <w:pStyle w:val="a9"/>
      </w:pPr>
      <w:r>
        <w:t xml:space="preserve">第二，现有开放集识别或分布外检测方法多依赖单一风险信号，例如最大 softmax 置信度、OpenMax 分数、能量分数、Mahalanobis 距离、类别原型距离或自编码器重构误差。上述方法可以在一定程度上发现分布外样本，但单一指标面对短流、低频命令控制、弱异常、新协议升级、业务周期变化、采样缺失和跨域漂移时稳定性不足。尤其在加密流量场景下，不同侧信道模态可能同时存在不完整、低质量和互相矛盾的情况，仅依靠一个 unknown 分数难以判断未知风险的真实来源。</w:t>
      </w:r>
    </w:p>
    <w:p>
      <w:pPr>
        <w:pStyle w:val="a9"/>
      </w:pPr>
      <w:r>
        <w:t xml:space="preserve">第三，现有多模态加密流量检测方法通常采用特征拼接、注意力加权、投票或简单门控方式进行融合。这类方法更多关注多个模态是否能提高分类准确率，却较少显式区分“模态缺失”“模态污染”“模态证据不足”“模态之间冲突”和“真实未知攻击”之间的差别。当某一模态由于短流导致包序列不足、由于 QUIC 字段不可见导致协议信息缺失、由于采样策略导致关系图边稀疏、或者由于对抗扰动导致包长方向序列被污染时，简单融合模型仍可能输出看似确定的错误结果。</w:t>
      </w:r>
    </w:p>
    <w:p>
      <w:pPr>
        <w:pStyle w:val="a9"/>
      </w:pPr>
      <w:r>
        <w:t xml:space="preserve">第四，很多检测系统只输出类别标签和风险分值，不能说明模型为什么这样判断、哪一类证据支持该判断、哪一类证据与其他证据冲突、未知风险是来自证据不足还是来自证据冲突、与哪个历史样本或已知类原型相似、是否需要进入待确认流程。缺少可解释证据包会导致告警处置难、模型审计难、规则沉淀难和检测闭环难。</w:t>
      </w:r>
    </w:p>
    <w:p>
      <w:pPr>
        <w:pStyle w:val="a9"/>
      </w:pPr>
      <w:r>
        <w:t xml:space="preserve">第五，真实网络中的标签反馈往往具有噪声、滞后和混合污染。如果系统直接把未确认的未知候选样本回流训练，容易引入确认偏差甚至数据投毒。现有方法较少将未知候选池、标注反馈、原型更新、阈值更新和模态可靠度更新设计成统一的参数更新流程。</w:t>
      </w:r>
    </w:p>
    <w:p>
      <w:pPr>
        <w:pStyle w:val="a9"/>
      </w:pPr>
      <w:r>
        <w:t xml:space="preserve">因此，需要一种面向真实网络部署的可信开放集加密恶意流量检测方法及系统，使其能够在加密载荷不可见、未知攻击持续出现、业务流量不断漂移、多模态证据质量不一和检测结果需要可复核证据的条件下，稳定地完成已知识别、未知发现、证据解释和参数更新。</w:t>
      </w:r>
    </w:p>
    <w:p>
      <w:pPr>
        <w:pStyle w:val="a9"/>
      </w:pPr>
      <w:r>
        <w:rPr>
          <w:b/>
        </w:rPr>
        <w:t xml:space="preserve">发明内容</w:t>
      </w:r>
    </w:p>
    <w:p>
      <w:pPr>
        <w:pStyle w:val="a9"/>
      </w:pPr>
      <w:r>
        <w:t xml:space="preserve">针对现有技术的不足，本发明提供了一种证据冲突感知的可信开放集加密恶意流量检测方法及系统。该方法解决了在加密载荷不可见场景下未知攻击容易被闭集模型高置信误判的问题，解决了普通开放集方法依赖单一 unknown 信号而不稳定的问题，解决了传统多模态融合不能显式处理模态冲突的问题，并解决了检测系统缺少证据包输出和参数反馈更新流程的问题。</w:t>
      </w:r>
    </w:p>
    <w:p>
      <w:pPr>
        <w:pStyle w:val="a9"/>
      </w:pPr>
      <w:r>
        <w:t xml:space="preserve">本发明的核心思想是：对于同一条加密流量对象，不是让多个模态简单投票或拼接，而是先让每个模态分别输出“我看到了什么证据”“该证据支持哪些已知类别”“该模态当前有多不确定”“该模态在当前场景下有多可靠”；然后计算不同模态之间是否相互支持或相互矛盾；再依据冲突程度对模态证据进行折扣、融合或保守处理；最后将证据不足、证据冲突、原型远离、能量异常和场景漂移共同作为开放集未知风险的组成因素。这样，系统不仅能够输出已知类别或未知候选，还能够说明未知风险产生的原因。</w:t>
      </w:r>
    </w:p>
    <w:p>
      <w:pPr>
        <w:pStyle w:val="a9"/>
      </w:pPr>
      <w:r>
        <w:t xml:space="preserve">术语解释如下：</w:t>
      </w:r>
    </w:p>
    <w:p>
      <w:pPr>
        <w:pStyle w:val="a9"/>
      </w:pPr>
      <w:r>
        <w:t xml:space="preserve">加密恶意流量：指恶意软件、攻击工具、代理隧道、扫描器或数据外传程序通过 TLS、QUIC、VPN、DoH、HTTPS 或其他加密协议传输的网络流量。本发明不要求对加密载荷进行解密，而是利用可见侧信道进行检测。</w:t>
      </w:r>
    </w:p>
    <w:p>
      <w:pPr>
        <w:pStyle w:val="a9"/>
      </w:pPr>
      <w:r>
        <w:t xml:space="preserve">开放集检测：指训练阶段只包含部分已知正常类别和已知恶意类别，而测试或部署阶段可能出现训练集中未出现的新类别、新攻击族或新业务流量，系统需要在已知分类之外完成未知样本拒识、风险排序或待确认输出。</w:t>
      </w:r>
    </w:p>
    <w:p>
      <w:pPr>
        <w:pStyle w:val="a9"/>
      </w:pPr>
      <w:r>
        <w:t xml:space="preserve">模态证据意见：指某一模态针对待检测流量对象输出的类别证据、类别信念、不确定性和可靠度的组合。模态证据意见可以由 Dirichlet evidence、校准 softmax、深度集成、贝叶斯神经网络、MC Dropout 或其他不确定性估计方法产生。</w:t>
      </w:r>
    </w:p>
    <w:p>
      <w:pPr>
        <w:pStyle w:val="a9"/>
      </w:pPr>
      <w:r>
        <w:t xml:space="preserve">模态可靠度：指某一模态在当前样本、当前协议、当前资产组和当前时间窗口下是否可信的度量。模态可靠度由模态质量、字段完整性、序列长度、解析成功率、图邻居数量、历史校准误差、不确定性和场景适配性共同决定。</w:t>
      </w:r>
    </w:p>
    <w:p>
      <w:pPr>
        <w:pStyle w:val="a9"/>
      </w:pPr>
      <w:r>
        <w:t xml:space="preserve">模态冲突：指两个或多个模态对同一流量对象给出明显不同的类别 belief 或风险判断，且这些模态自身质量较好、可靠度较高、不确定性较低时形成的证据矛盾。本发明将模态冲突作为未知风险信号，而不简单视为融合噪声。</w:t>
      </w:r>
    </w:p>
    <w:p>
      <w:pPr>
        <w:pStyle w:val="a9"/>
      </w:pPr>
      <w:r>
        <w:t xml:space="preserve">未知候选池：指系统保存未知恶意候选、待确认样本、相似未知簇、确认状态和历史证据包的存储结构。未知候选池用于持续发现新类、减少重复确认，并支持后续阈值和原型更新。</w:t>
      </w:r>
    </w:p>
    <w:p>
      <w:pPr>
        <w:pStyle w:val="a9"/>
      </w:pPr>
      <w:r>
        <w:t xml:space="preserve">如图1所示，本发明技术方案如下。</w:t>
      </w:r>
    </w:p>
    <w:p>
      <w:pPr>
        <w:pStyle w:val="a9"/>
      </w:pPr>
      <w:r>
        <w:t xml:space="preserve">1、流量采集与会话重组模块</w:t>
      </w:r>
    </w:p>
    <w:p>
      <w:pPr>
        <w:pStyle w:val="a9"/>
      </w:pPr>
      <w:r>
        <w:t xml:space="preserve">流量采集与会话重组模块用于从网络边界镜像口、流量探针、云安全网关、数据中心出口、零信任接入节点或流量分析平台采集网络报文、NetFlow/IPFIX 流记录、代理日志、DNS 日志、证书日志或告警上下文。该模块对原始报文和日志执行时间戳标准化、五元组提取、方向标记、会话聚合、协议初步识别、时间窗口切分和重复流合并，得到待检测流量对象集合。</w:t>
      </w:r>
    </w:p>
    <w:p>
      <w:pPr>
        <w:pStyle w:val="a9"/>
      </w:pPr>
      <w:r>
        <w:t xml:space="preserve">第一步，系统以五元组、应用层会话标识、QUIC Connection ID、TLS 握手上下文、源主机和目的端组合为依据，将报文聚合成会话级或流级对象。对于长连接，系统按固定时间窗或固定包数进行分段；对于短连接，系统保留短流标识并记录采样不足状态。</w:t>
      </w:r>
    </w:p>
    <w:p>
      <w:pPr>
        <w:pStyle w:val="a9"/>
      </w:pPr>
      <w:r>
        <w:t xml:space="preserve">第二步，系统对每一条流量对象标记方向。方向可以以第一个发起连接的端点为上行方向，以响应端为下行方向，也可以依据资产画像判断内网主机和外部目标。方向标记用于构造包长方向时序、上下行比例和突发行为。</w:t>
      </w:r>
    </w:p>
    <w:p>
      <w:pPr>
        <w:pStyle w:val="a9"/>
      </w:pPr>
      <w:r>
        <w:t xml:space="preserve">第三步，系统记录采集来源、资产组、协议类型、时间窗口、业务域、镜像点位和日志来源，为后续场景条件化阈值和模态可靠度计算提供上下文。</w:t>
      </w:r>
    </w:p>
    <w:p>
      <w:pPr>
        <w:pStyle w:val="a9"/>
      </w:pPr>
      <w:r>
        <w:t xml:space="preserve">2、多粒度特征提取模块</w:t>
      </w:r>
    </w:p>
    <w:p>
      <w:pPr>
        <w:pStyle w:val="a9"/>
      </w:pPr>
      <w:r>
        <w:t xml:space="preserve">多粒度特征提取模块用于从同一流量对象中提取至少两类互补侧信道模态。优选地，系统提取流统计模态、包长方向时序模态、可见协议字段模态、字节摘要或时频模态、关系图模态五类特征。</w:t>
      </w:r>
    </w:p>
    <w:p>
      <w:pPr>
        <w:pStyle w:val="a9"/>
      </w:pPr>
      <w:r>
        <w:t xml:space="preserve">流统计模态包括但不限于持续时间、上下行包数、上下行字节数、总包数、总字节数、包长均值、包长方差、最大包长、最小包长、到达间隔均值、到达间隔方差、连接建立时延、上下行比例、突发次数、突发长度和速率等。该模态计算成本低，适合高速初筛。</w:t>
      </w:r>
    </w:p>
    <w:p>
      <w:pPr>
        <w:pStyle w:val="a9"/>
      </w:pPr>
      <w:r>
        <w:t xml:space="preserve">包长方向时序模态包括前 N 个包的包长、方向、到达间隔、TCP 标志位、应用数据单元长度、burst 序列和包长符号序列。该模态用于刻画加密通信行为模式，例如周期性心跳、低频命令控制、隧道封装、扫描探测和恶意下载。</w:t>
      </w:r>
    </w:p>
    <w:p>
      <w:pPr>
        <w:pStyle w:val="a9"/>
      </w:pPr>
      <w:r>
        <w:t xml:space="preserve">可见协议字段模态包括 TLS/QUIC 版本、Cipher Suites 数量、扩展类型、ALPN、SNI 可见字段、证书摘要、证书有效期统计、JA3/JA4 指纹、QUIC 传输参数、DoH 查询外观特征和代理协议可见字段。涉及隐私内容的字段可仅保留不可逆摘要、长度、类别或统计量。</w:t>
      </w:r>
    </w:p>
    <w:p>
      <w:pPr>
        <w:pStyle w:val="a9"/>
      </w:pPr>
      <w:r>
        <w:t xml:space="preserve">字节摘要或时频模态包括首包或前若干包的不可逆字节摘要、n-gram 统计、载荷长度分布、字节熵、压缩表示、包长序列频域变换、时频谱统计和局部结构指纹。该模态不要求还原用户内容，只用于捕捉局部结构和周期行为。</w:t>
      </w:r>
    </w:p>
    <w:p>
      <w:pPr>
        <w:pStyle w:val="a9"/>
      </w:pPr>
      <w:r>
        <w:t xml:space="preserve">关系图模态包括主机-会话图、会话-域名图、主机-证书图、主机-目的地址图、域名-证书图、时间共现图、告警共现图和资产组通信图。节点可以表示主机、会话、域名、证书、JA3/JA4 指纹、目的地址、端口或告警事件；边可以表示同源主机、共享目标、共享证书、相似序列、时间邻近、共同告警或通信共现。关系图模态用于捕捉多流协同、基础设施复用和攻击链结构。</w:t>
      </w:r>
    </w:p>
    <w:p>
      <w:pPr>
        <w:pStyle w:val="a9"/>
      </w:pPr>
      <w:r>
        <w:t xml:space="preserve">不同模态的示例特征和作用如表1所示。</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模态</w:t>
            </w:r>
          </w:p>
        </w:tc>
        <w:tc>
          <w:tcPr>
            <w:tcBorders>
              <w:bottom w:val="single"/>
            </w:tcBorders>
            <w:vAlign w:val="bottom"/>
          </w:tcPr>
          <w:p>
            <w:pPr>
              <w:pStyle w:val="Compact"/>
              <w:jc w:val="left"/>
            </w:pPr>
            <w:r>
              <w:t xml:space="preserve">示例特征</w:t>
            </w:r>
          </w:p>
        </w:tc>
        <w:tc>
          <w:tcPr>
            <w:tcBorders>
              <w:bottom w:val="single"/>
            </w:tcBorders>
            <w:vAlign w:val="bottom"/>
          </w:tcPr>
          <w:p>
            <w:pPr>
              <w:pStyle w:val="Compact"/>
              <w:jc w:val="left"/>
            </w:pPr>
            <w:r>
              <w:t xml:space="preserve">模态质量指标</w:t>
            </w:r>
          </w:p>
        </w:tc>
        <w:tc>
          <w:tcPr>
            <w:tcBorders>
              <w:bottom w:val="single"/>
            </w:tcBorders>
            <w:vAlign w:val="bottom"/>
          </w:tcPr>
          <w:p>
            <w:pPr>
              <w:pStyle w:val="Compact"/>
              <w:jc w:val="left"/>
            </w:pPr>
            <w:r>
              <w:t xml:space="preserve">主要作用</w:t>
            </w:r>
          </w:p>
        </w:tc>
      </w:tr>
      <w:tr>
        <w:tc>
          <w:p>
            <w:pPr>
              <w:pStyle w:val="Compact"/>
              <w:jc w:val="left"/>
            </w:pPr>
            <w:r>
              <w:t xml:space="preserve">流统计模态</w:t>
            </w:r>
          </w:p>
        </w:tc>
        <w:tc>
          <w:p>
            <w:pPr>
              <w:pStyle w:val="Compact"/>
              <w:jc w:val="left"/>
            </w:pPr>
            <w:r>
              <w:t xml:space="preserve">持续时间、包数、字节数、上下行比例、IAT、burst</w:t>
            </w:r>
          </w:p>
        </w:tc>
        <w:tc>
          <w:p>
            <w:pPr>
              <w:pStyle w:val="Compact"/>
              <w:jc w:val="left"/>
            </w:pPr>
            <w:r>
              <w:t xml:space="preserve">包数是否足够、字段是否完整、统计是否异常</w:t>
            </w:r>
          </w:p>
        </w:tc>
        <w:tc>
          <w:p>
            <w:pPr>
              <w:pStyle w:val="Compact"/>
              <w:jc w:val="left"/>
            </w:pPr>
            <w:r>
              <w:t xml:space="preserve">低成本初筛和基础行为刻画</w:t>
            </w:r>
          </w:p>
        </w:tc>
      </w:tr>
      <w:tr>
        <w:tc>
          <w:p>
            <w:pPr>
              <w:pStyle w:val="Compact"/>
              <w:jc w:val="left"/>
            </w:pPr>
            <w:r>
              <w:t xml:space="preserve">包序列模态</w:t>
            </w:r>
          </w:p>
        </w:tc>
        <w:tc>
          <w:p>
            <w:pPr>
              <w:pStyle w:val="Compact"/>
              <w:jc w:val="left"/>
            </w:pPr>
            <w:r>
              <w:t xml:space="preserve">前 N 个包长、方向、到达间隔、flag</w:t>
            </w:r>
          </w:p>
        </w:tc>
        <w:tc>
          <w:p>
            <w:pPr>
              <w:pStyle w:val="Compact"/>
              <w:jc w:val="left"/>
            </w:pPr>
            <w:r>
              <w:t xml:space="preserve">序列长度、截断比例、采样抖动</w:t>
            </w:r>
          </w:p>
        </w:tc>
        <w:tc>
          <w:p>
            <w:pPr>
              <w:pStyle w:val="Compact"/>
              <w:jc w:val="left"/>
            </w:pPr>
            <w:r>
              <w:t xml:space="preserve">捕获时序行为和早期通信模式</w:t>
            </w:r>
          </w:p>
        </w:tc>
      </w:tr>
      <w:tr>
        <w:tc>
          <w:p>
            <w:pPr>
              <w:pStyle w:val="Compact"/>
              <w:jc w:val="left"/>
            </w:pPr>
            <w:r>
              <w:t xml:space="preserve">协议模态</w:t>
            </w:r>
          </w:p>
        </w:tc>
        <w:tc>
          <w:p>
            <w:pPr>
              <w:pStyle w:val="Compact"/>
              <w:jc w:val="left"/>
            </w:pPr>
            <w:r>
              <w:t xml:space="preserve">TLS/QUIC 版本、JA3/JA4、ALPN、证书摘要</w:t>
            </w:r>
          </w:p>
        </w:tc>
        <w:tc>
          <w:p>
            <w:pPr>
              <w:pStyle w:val="Compact"/>
              <w:jc w:val="left"/>
            </w:pPr>
            <w:r>
              <w:t xml:space="preserve">解析成功率、字段缺失率、指纹稀有度</w:t>
            </w:r>
          </w:p>
        </w:tc>
        <w:tc>
          <w:p>
            <w:pPr>
              <w:pStyle w:val="Compact"/>
              <w:jc w:val="left"/>
            </w:pPr>
            <w:r>
              <w:t xml:space="preserve">捕获协议实现和伪装痕迹</w:t>
            </w:r>
          </w:p>
        </w:tc>
      </w:tr>
      <w:tr>
        <w:tc>
          <w:p>
            <w:pPr>
              <w:pStyle w:val="Compact"/>
              <w:jc w:val="left"/>
            </w:pPr>
            <w:r>
              <w:t xml:space="preserve">字节/时频模态</w:t>
            </w:r>
          </w:p>
        </w:tc>
        <w:tc>
          <w:p>
            <w:pPr>
              <w:pStyle w:val="Compact"/>
              <w:jc w:val="left"/>
            </w:pPr>
            <w:r>
              <w:t xml:space="preserve">不可逆字节摘要、熵、n-gram、频域包长模式</w:t>
            </w:r>
          </w:p>
        </w:tc>
        <w:tc>
          <w:p>
            <w:pPr>
              <w:pStyle w:val="Compact"/>
              <w:jc w:val="left"/>
            </w:pPr>
            <w:r>
              <w:t xml:space="preserve">字节覆盖率、熵稳定性、摘要可用性</w:t>
            </w:r>
          </w:p>
        </w:tc>
        <w:tc>
          <w:p>
            <w:pPr>
              <w:pStyle w:val="Compact"/>
              <w:jc w:val="left"/>
            </w:pPr>
            <w:r>
              <w:t xml:space="preserve">补充局部结构和周期性行为</w:t>
            </w:r>
          </w:p>
        </w:tc>
      </w:tr>
      <w:tr>
        <w:tc>
          <w:p>
            <w:pPr>
              <w:pStyle w:val="Compact"/>
              <w:jc w:val="left"/>
            </w:pPr>
            <w:r>
              <w:t xml:space="preserve">关系图模态</w:t>
            </w:r>
          </w:p>
        </w:tc>
        <w:tc>
          <w:p>
            <w:pPr>
              <w:pStyle w:val="Compact"/>
              <w:jc w:val="left"/>
            </w:pPr>
            <w:r>
              <w:t xml:space="preserve">主机-会话-域名图、证书共享图、时间共现图</w:t>
            </w:r>
          </w:p>
        </w:tc>
        <w:tc>
          <w:p>
            <w:pPr>
              <w:pStyle w:val="Compact"/>
              <w:jc w:val="left"/>
            </w:pPr>
            <w:r>
              <w:t xml:space="preserve">邻居数、边类型完整性、窗口覆盖率</w:t>
            </w:r>
          </w:p>
        </w:tc>
        <w:tc>
          <w:p>
            <w:pPr>
              <w:pStyle w:val="Compact"/>
              <w:jc w:val="left"/>
            </w:pPr>
            <w:r>
              <w:t xml:space="preserve">捕获多流协同和攻击链关系</w:t>
            </w:r>
          </w:p>
        </w:tc>
      </w:tr>
    </w:tbl>
    <w:p>
      <w:pPr>
        <w:pStyle w:val="a9"/>
      </w:pPr>
      <w:r>
        <w:t xml:space="preserve">若某一模态因短流、缺报、协议解析失败、字段不可见或图邻居不足而缺失，系统不直接中断检测流程，而是为该模态记录质量标签，并使该模态生成低证据、高不确定性、低可靠度的意见。</w:t>
      </w:r>
    </w:p>
    <w:p>
      <w:pPr>
        <w:pStyle w:val="a9"/>
      </w:pPr>
      <w:r>
        <w:t xml:space="preserve">3、模态证据生成模块</w:t>
      </w:r>
    </w:p>
    <w:p>
      <w:pPr>
        <w:pStyle w:val="a9"/>
      </w:pPr>
      <w:r>
        <w:t xml:space="preserve">模态证据生成模块用于将每一类模态特征输入对应的编码器和证据头，输出类别证据、类别信念、模态不确定性和模态可靠度。设待检测流量对象为</w:t>
      </w:r>
      <w:r>
        <w:t xml:space="preserve"> </w:t>
      </w:r>
      <m:oMath>
        <m:r>
          <m:t>x</m:t>
        </m:r>
      </m:oMath>
      <w:r>
        <w:t xml:space="preserve">，已知类别集合为</w:t>
      </w:r>
      <w:r>
        <w:t xml:space="preserve"> </w:t>
      </w:r>
      <m:oMath>
        <m:r>
          <m:t>Y</m:t>
        </m:r>
        <m:r>
          <m:t>=</m:t>
        </m:r>
        <m:r>
          <m:t>{</m:t>
        </m:r>
        <m:r>
          <m:t>1</m:t>
        </m:r>
        <m:r>
          <m:t>,</m:t>
        </m:r>
        <m:r>
          <m:t>2</m:t>
        </m:r>
        <m:r>
          <m:t>,</m:t>
        </m:r>
        <m:r>
          <m:t>…</m:t>
        </m:r>
        <m:r>
          <m:t>,</m:t>
        </m:r>
        <m:r>
          <m:t>K</m:t>
        </m:r>
        <m:r>
          <m:t>}</m:t>
        </m:r>
      </m:oMath>
      <w:r>
        <w:t xml:space="preserve">，模态集合为</w:t>
      </w:r>
      <w:r>
        <w:t xml:space="preserve"> </w:t>
      </w:r>
      <m:oMath>
        <m:r>
          <m:t>M</m:t>
        </m:r>
        <m:r>
          <m:t>=</m:t>
        </m:r>
        <m:r>
          <m:t>{</m:t>
        </m:r>
        <m:r>
          <m:t>s</m:t>
        </m:r>
        <m:r>
          <m:t>t</m:t>
        </m:r>
        <m:r>
          <m:t>a</m:t>
        </m:r>
        <m:r>
          <m:t>t</m:t>
        </m:r>
        <m:r>
          <m:t>,</m:t>
        </m:r>
        <m:r>
          <m:t>s</m:t>
        </m:r>
        <m:r>
          <m:t>e</m:t>
        </m:r>
        <m:r>
          <m:t>q</m:t>
        </m:r>
        <m:r>
          <m:t>,</m:t>
        </m:r>
        <m:r>
          <m:t>p</m:t>
        </m:r>
        <m:r>
          <m:t>r</m:t>
        </m:r>
        <m:r>
          <m:t>o</m:t>
        </m:r>
        <m:r>
          <m:t>t</m:t>
        </m:r>
        <m:r>
          <m:t>o</m:t>
        </m:r>
        <m:r>
          <m:t>,</m:t>
        </m:r>
        <m:r>
          <m:t>b</m:t>
        </m:r>
        <m:r>
          <m:t>y</m:t>
        </m:r>
        <m:r>
          <m:t>t</m:t>
        </m:r>
        <m:r>
          <m:t>e</m:t>
        </m:r>
        <m:r>
          <m:t>,</m:t>
        </m:r>
        <m:r>
          <m:t>g</m:t>
        </m:r>
        <m:r>
          <m:t>r</m:t>
        </m:r>
        <m:r>
          <m:t>a</m:t>
        </m:r>
        <m:r>
          <m:t>p</m:t>
        </m:r>
        <m:r>
          <m:t>h</m:t>
        </m:r>
        <m:r>
          <m:t>}</m:t>
        </m:r>
      </m:oMath>
      <w:r>
        <w:t xml:space="preserve">。对于模态</w:t>
      </w:r>
      <w:r>
        <w:t xml:space="preserve"> </w:t>
      </w:r>
      <m:oMath>
        <m:r>
          <m:t>m</m:t>
        </m:r>
      </m:oMath>
      <w:r>
        <w:t xml:space="preserve">，系统先得到模态表示：</w:t>
      </w:r>
    </w:p>
    <w:p>
      <w:pPr>
        <w:pStyle w:val="a9"/>
      </w:pPr>
      <m:oMathPara>
        <m:oMathParaPr>
          <m:jc m:val="center"/>
        </m:oMathParaPr>
        <m:oMath>
          <m:sSub>
            <m:e>
              <m:r>
                <m:t>h</m:t>
              </m:r>
            </m:e>
            <m:sub>
              <m:r>
                <m:t>m</m:t>
              </m:r>
            </m:sub>
          </m:sSub>
          <m:r>
            <m:t>=</m:t>
          </m:r>
          <m:r>
            <m:t>E</m:t>
          </m:r>
          <m:r>
            <m:t>n</m:t>
          </m:r>
          <m:r>
            <m:t>c</m:t>
          </m:r>
          <m:r>
            <m:t>o</m:t>
          </m:r>
          <m:r>
            <m:t>d</m:t>
          </m:r>
          <m:r>
            <m:t>e</m:t>
          </m:r>
          <m:sSub>
            <m:e>
              <m:r>
                <m:t>r</m:t>
              </m:r>
            </m:e>
            <m:sub>
              <m:r>
                <m:t>m</m:t>
              </m:r>
            </m:sub>
          </m:sSub>
          <m:r>
            <m:t>(</m:t>
          </m:r>
          <m:sSub>
            <m:e>
              <m:r>
                <m:t>x</m:t>
              </m:r>
            </m:e>
            <m:sub>
              <m:r>
                <m:t>m</m:t>
              </m:r>
            </m:sub>
          </m:sSub>
          <m:r>
            <m:t>)</m:t>
          </m:r>
        </m:oMath>
      </m:oMathPara>
    </w:p>
    <w:p>
      <w:pPr>
        <w:pStyle w:val="FirstParagraph"/>
      </w:pPr>
      <w:r>
        <w:t xml:space="preserve">其中，</w:t>
      </w:r>
      <m:oMath>
        <m:sSub>
          <m:e>
            <m:r>
              <m:t>x</m:t>
            </m:r>
          </m:e>
          <m:sub>
            <m:r>
              <m:t>m</m:t>
            </m:r>
          </m:sub>
        </m:sSub>
      </m:oMath>
      <w:r>
        <w:t xml:space="preserve"> </w:t>
      </w:r>
      <w:r>
        <w:t xml:space="preserve">为模态</w:t>
      </w:r>
      <w:r>
        <w:t xml:space="preserve"> </w:t>
      </w:r>
      <m:oMath>
        <m:r>
          <m:t>m</m:t>
        </m:r>
      </m:oMath>
      <w:r>
        <w:t xml:space="preserve"> </w:t>
      </w:r>
      <w:r>
        <w:t xml:space="preserve">的输入特征，</w:t>
      </w:r>
      <m:oMath>
        <m:r>
          <m:t>E</m:t>
        </m:r>
        <m:r>
          <m:t>n</m:t>
        </m:r>
        <m:r>
          <m:t>c</m:t>
        </m:r>
        <m:r>
          <m:t>o</m:t>
        </m:r>
        <m:r>
          <m:t>d</m:t>
        </m:r>
        <m:r>
          <m:t>e</m:t>
        </m:r>
        <m:sSub>
          <m:e>
            <m:r>
              <m:t>r</m:t>
            </m:r>
          </m:e>
          <m:sub>
            <m:r>
              <m:t>m</m:t>
            </m:r>
          </m:sub>
        </m:sSub>
      </m:oMath>
      <w:r>
        <w:t xml:space="preserve"> </w:t>
      </w:r>
      <w:r>
        <w:t xml:space="preserve">可以为多层感知机、轻量树模型、TCN、LSTM、Transformer、Mamba、CNN、GraphSAGE、GAT、动态图模型或其组合。上述模型结构仅为示例，本发明保护重点不在于某个固定 backbone，而在于多模态证据生成、冲突感知、可信融合、开放集风险判定和参数更新的整体方法链。</w:t>
      </w:r>
    </w:p>
    <w:p>
      <w:pPr>
        <w:pStyle w:val="a9"/>
      </w:pPr>
      <w:r>
        <w:t xml:space="preserve">对于每个模态，证据头输出非负证据向量：</w:t>
      </w:r>
    </w:p>
    <w:p>
      <w:pPr>
        <w:pStyle w:val="a9"/>
      </w:pPr>
      <m:oMathPara>
        <m:oMathParaPr>
          <m:jc m:val="center"/>
        </m:oMathParaPr>
        <m:oMath>
          <m:sSub>
            <m:e>
              <m:r>
                <m:t>e</m:t>
              </m:r>
            </m:e>
            <m:sub>
              <m:r>
                <m:t>m</m:t>
              </m:r>
            </m:sub>
          </m:sSub>
          <m:r>
            <m:t>=</m:t>
          </m:r>
          <m:r>
            <m:t>s</m:t>
          </m:r>
          <m:r>
            <m:t>o</m:t>
          </m:r>
          <m:r>
            <m:t>f</m:t>
          </m:r>
          <m:r>
            <m:t>t</m:t>
          </m:r>
          <m:r>
            <m:t>p</m:t>
          </m:r>
          <m:r>
            <m:t>l</m:t>
          </m:r>
          <m:r>
            <m:t>u</m:t>
          </m:r>
          <m:r>
            <m:t>s</m:t>
          </m:r>
          <m:r>
            <m:t>(</m:t>
          </m:r>
          <m:sSub>
            <m:e>
              <m:r>
                <m:t>W</m:t>
              </m:r>
            </m:e>
            <m:sub>
              <m:r>
                <m:t>m</m:t>
              </m:r>
            </m:sub>
          </m:sSub>
          <m:sSub>
            <m:e>
              <m:r>
                <m:t>h</m:t>
              </m:r>
            </m:e>
            <m:sub>
              <m:r>
                <m:t>m</m:t>
              </m:r>
            </m:sub>
          </m:sSub>
          <m:r>
            <m:t>+</m:t>
          </m:r>
          <m:sSub>
            <m:e>
              <m:r>
                <m:t>b</m:t>
              </m:r>
            </m:e>
            <m:sub>
              <m:r>
                <m:t>m</m:t>
              </m:r>
            </m:sub>
          </m:sSub>
          <m:r>
            <m:t>)</m:t>
          </m:r>
        </m:oMath>
      </m:oMathPara>
    </w:p>
    <w:p>
      <w:pPr>
        <w:pStyle w:val="FirstParagraph"/>
      </w:pPr>
      <w:r>
        <w:t xml:space="preserve">其中，</w:t>
      </w:r>
      <m:oMath>
        <m:sSub>
          <m:e>
            <m:r>
              <m:t>e</m:t>
            </m:r>
          </m:e>
          <m:sub>
            <m:r>
              <m:t>m</m:t>
            </m:r>
          </m:sub>
        </m:sSub>
        <m:r>
          <m:t>=</m:t>
        </m:r>
        <m:r>
          <m:t>(</m:t>
        </m:r>
        <m:sSub>
          <m:e>
            <m:r>
              <m:t>e</m:t>
            </m:r>
          </m:e>
          <m:sub>
            <m:r>
              <m:t>m</m:t>
            </m:r>
            <m:r>
              <m:t>,</m:t>
            </m:r>
            <m:r>
              <m:t>1</m:t>
            </m:r>
          </m:sub>
        </m:sSub>
        <m:r>
          <m:t>,</m:t>
        </m:r>
        <m:sSub>
          <m:e>
            <m:r>
              <m:t>e</m:t>
            </m:r>
          </m:e>
          <m:sub>
            <m:r>
              <m:t>m</m:t>
            </m:r>
            <m:r>
              <m:t>,</m:t>
            </m:r>
            <m:r>
              <m:t>2</m:t>
            </m:r>
          </m:sub>
        </m:sSub>
        <m:r>
          <m:t>,</m:t>
        </m:r>
        <m:r>
          <m:t>…</m:t>
        </m:r>
        <m:r>
          <m:t>,</m:t>
        </m:r>
        <m:sSub>
          <m:e>
            <m:r>
              <m:t>e</m:t>
            </m:r>
          </m:e>
          <m:sub>
            <m:r>
              <m:t>m</m:t>
            </m:r>
            <m:r>
              <m:t>,</m:t>
            </m:r>
            <m:r>
              <m:t>K</m:t>
            </m:r>
          </m:sub>
        </m:sSub>
        <m:r>
          <m:t>)</m:t>
        </m:r>
      </m:oMath>
      <w:r>
        <w:t xml:space="preserve"> </w:t>
      </w:r>
      <w:r>
        <w:t xml:space="preserve">表示模态</w:t>
      </w:r>
      <w:r>
        <w:t xml:space="preserve"> </w:t>
      </w:r>
      <m:oMath>
        <m:r>
          <m:t>m</m:t>
        </m:r>
      </m:oMath>
      <w:r>
        <w:t xml:space="preserve"> </w:t>
      </w:r>
      <w:r>
        <w:t xml:space="preserve">对各已知类别的非负证据。系统可将该证据向量转换为 Dirichlet 参数：</w:t>
      </w:r>
    </w:p>
    <w:p>
      <w:pPr>
        <w:pStyle w:val="a9"/>
      </w:pPr>
      <m:oMathPara>
        <m:oMathParaPr>
          <m:jc m:val="center"/>
        </m:oMathParaPr>
        <m:oMath>
          <m:sSub>
            <m:e>
              <m:r>
                <m:t>α</m:t>
              </m:r>
            </m:e>
            <m:sub>
              <m:r>
                <m:t>m</m:t>
              </m:r>
              <m:r>
                <m:t>,</m:t>
              </m:r>
              <m:r>
                <m:t>k</m:t>
              </m:r>
            </m:sub>
          </m:sSub>
          <m:r>
            <m:t>=</m:t>
          </m:r>
          <m:sSub>
            <m:e>
              <m:r>
                <m:t>e</m:t>
              </m:r>
            </m:e>
            <m:sub>
              <m:r>
                <m:t>m</m:t>
              </m:r>
              <m:r>
                <m:t>,</m:t>
              </m:r>
              <m:r>
                <m:t>k</m:t>
              </m:r>
            </m:sub>
          </m:sSub>
          <m:r>
            <m:t>+</m:t>
          </m:r>
          <m:r>
            <m:t>1</m:t>
          </m:r>
          <m:r>
            <m:t>,</m:t>
          </m:r>
          <m:r>
            <m:t> </m:t>
          </m:r>
          <m:sSub>
            <m:e>
              <m:r>
                <m:t>S</m:t>
              </m:r>
            </m:e>
            <m:sub>
              <m:r>
                <m:t>m</m:t>
              </m:r>
            </m:sub>
          </m:sSub>
          <m:r>
            <m:t>=</m:t>
          </m:r>
          <m:nary>
            <m:naryPr>
              <m:chr m:val="∑"/>
              <m:limLoc m:val="undOvr"/>
              <m:subHide m:val="0"/>
              <m:supHide m:val="0"/>
            </m:naryPr>
            <m:sub>
              <m:r>
                <m:t>k</m:t>
              </m:r>
              <m:r>
                <m:t>=</m:t>
              </m:r>
              <m:r>
                <m:t>1</m:t>
              </m:r>
            </m:sub>
            <m:sup>
              <m:r>
                <m:t>K</m:t>
              </m:r>
            </m:sup>
            <m:e>
              <m:sSub>
                <m:e>
                  <m:r>
                    <m:t>α</m:t>
                  </m:r>
                </m:e>
                <m:sub>
                  <m:r>
                    <m:t>m</m:t>
                  </m:r>
                  <m:r>
                    <m:t>,</m:t>
                  </m:r>
                  <m:r>
                    <m:t>k</m:t>
                  </m:r>
                </m:sub>
              </m:sSub>
            </m:e>
          </m:nary>
        </m:oMath>
      </m:oMathPara>
    </w:p>
    <w:p>
      <w:pPr>
        <w:pStyle w:val="FirstParagraph"/>
      </w:pPr>
      <w:r>
        <w:t xml:space="preserve">并得到类别信念和模态不确定性：</w:t>
      </w:r>
    </w:p>
    <w:p>
      <w:pPr>
        <w:pStyle w:val="a9"/>
      </w:pPr>
      <m:oMathPara>
        <m:oMathParaPr>
          <m:jc m:val="center"/>
        </m:oMathParaPr>
        <m:oMath>
          <m:sSub>
            <m:e>
              <m:r>
                <m:t>b</m:t>
              </m:r>
            </m:e>
            <m:sub>
              <m:r>
                <m:t>m</m:t>
              </m:r>
              <m:r>
                <m:t>,</m:t>
              </m:r>
              <m:r>
                <m:t>k</m:t>
              </m:r>
            </m:sub>
          </m:sSub>
          <m:r>
            <m:t>=</m:t>
          </m:r>
          <m:f>
            <m:fPr>
              <m:type m:val="bar"/>
            </m:fPr>
            <m:num>
              <m:sSub>
                <m:e>
                  <m:r>
                    <m:t>e</m:t>
                  </m:r>
                </m:e>
                <m:sub>
                  <m:r>
                    <m:t>m</m:t>
                  </m:r>
                  <m:r>
                    <m:t>,</m:t>
                  </m:r>
                  <m:r>
                    <m:t>k</m:t>
                  </m:r>
                </m:sub>
              </m:sSub>
            </m:num>
            <m:den>
              <m:sSub>
                <m:e>
                  <m:r>
                    <m:t>S</m:t>
                  </m:r>
                </m:e>
                <m:sub>
                  <m:r>
                    <m:t>m</m:t>
                  </m:r>
                </m:sub>
              </m:sSub>
            </m:den>
          </m:f>
          <m:r>
            <m:t>,</m:t>
          </m:r>
          <m:r>
            <m:t> </m:t>
          </m:r>
          <m:sSub>
            <m:e>
              <m:r>
                <m:t>u</m:t>
              </m:r>
            </m:e>
            <m:sub>
              <m:r>
                <m:t>m</m:t>
              </m:r>
            </m:sub>
          </m:sSub>
          <m:r>
            <m:t>=</m:t>
          </m:r>
          <m:f>
            <m:fPr>
              <m:type m:val="bar"/>
            </m:fPr>
            <m:num>
              <m:r>
                <m:t>K</m:t>
              </m:r>
            </m:num>
            <m:den>
              <m:sSub>
                <m:e>
                  <m:r>
                    <m:t>S</m:t>
                  </m:r>
                </m:e>
                <m:sub>
                  <m:r>
                    <m:t>m</m:t>
                  </m:r>
                </m:sub>
              </m:sSub>
            </m:den>
          </m:f>
        </m:oMath>
      </m:oMathPara>
    </w:p>
    <w:p>
      <w:pPr>
        <w:pStyle w:val="FirstParagraph"/>
      </w:pPr>
      <w:r>
        <w:t xml:space="preserve">其中，</w:t>
      </w:r>
      <m:oMath>
        <m:sSub>
          <m:e>
            <m:r>
              <m:t>b</m:t>
            </m:r>
          </m:e>
          <m:sub>
            <m:r>
              <m:t>m</m:t>
            </m:r>
            <m:r>
              <m:t>,</m:t>
            </m:r>
            <m:r>
              <m:t>k</m:t>
            </m:r>
          </m:sub>
        </m:sSub>
      </m:oMath>
      <w:r>
        <w:t xml:space="preserve"> </w:t>
      </w:r>
      <w:r>
        <w:t xml:space="preserve">表示模态</w:t>
      </w:r>
      <w:r>
        <w:t xml:space="preserve"> </w:t>
      </w:r>
      <m:oMath>
        <m:r>
          <m:t>m</m:t>
        </m:r>
      </m:oMath>
      <w:r>
        <w:t xml:space="preserve"> </w:t>
      </w:r>
      <w:r>
        <w:t xml:space="preserve">对类别</w:t>
      </w:r>
      <w:r>
        <w:t xml:space="preserve"> </w:t>
      </w:r>
      <m:oMath>
        <m:r>
          <m:t>k</m:t>
        </m:r>
      </m:oMath>
      <w:r>
        <w:t xml:space="preserve"> </w:t>
      </w:r>
      <w:r>
        <w:t xml:space="preserve">的 belief，</w:t>
      </w:r>
      <m:oMath>
        <m:sSub>
          <m:e>
            <m:r>
              <m:t>u</m:t>
            </m:r>
          </m:e>
          <m:sub>
            <m:r>
              <m:t>m</m:t>
            </m:r>
          </m:sub>
        </m:sSub>
      </m:oMath>
      <w:r>
        <w:t xml:space="preserve"> </w:t>
      </w:r>
      <w:r>
        <w:t xml:space="preserve">表示该模态整体不确定性。当某一模态缺少有效证据时，</w:t>
      </w:r>
      <m:oMath>
        <m:sSub>
          <m:e>
            <m:r>
              <m:t>S</m:t>
            </m:r>
          </m:e>
          <m:sub>
            <m:r>
              <m:t>m</m:t>
            </m:r>
          </m:sub>
        </m:sSub>
      </m:oMath>
      <w:r>
        <w:t xml:space="preserve"> </w:t>
      </w:r>
      <w:r>
        <w:t xml:space="preserve">较小，</w:t>
      </w:r>
      <m:oMath>
        <m:sSub>
          <m:e>
            <m:r>
              <m:t>u</m:t>
            </m:r>
          </m:e>
          <m:sub>
            <m:r>
              <m:t>m</m:t>
            </m:r>
          </m:sub>
        </m:sSub>
      </m:oMath>
      <w:r>
        <w:t xml:space="preserve"> </w:t>
      </w:r>
      <w:r>
        <w:t xml:space="preserve">较高；当某一模态对某个类别有充分证据时，对应</w:t>
      </w:r>
      <w:r>
        <w:t xml:space="preserve"> </w:t>
      </w:r>
      <m:oMath>
        <m:sSub>
          <m:e>
            <m:r>
              <m:t>b</m:t>
            </m:r>
          </m:e>
          <m:sub>
            <m:r>
              <m:t>m</m:t>
            </m:r>
            <m:r>
              <m:t>,</m:t>
            </m:r>
            <m:r>
              <m:t>k</m:t>
            </m:r>
          </m:sub>
        </m:sSub>
      </m:oMath>
      <w:r>
        <w:t xml:space="preserve"> </w:t>
      </w:r>
      <w:r>
        <w:t xml:space="preserve">较高而</w:t>
      </w:r>
      <w:r>
        <w:t xml:space="preserve"> </w:t>
      </w:r>
      <m:oMath>
        <m:sSub>
          <m:e>
            <m:r>
              <m:t>u</m:t>
            </m:r>
          </m:e>
          <m:sub>
            <m:r>
              <m:t>m</m:t>
            </m:r>
          </m:sub>
        </m:sSub>
      </m:oMath>
      <w:r>
        <w:t xml:space="preserve"> </w:t>
      </w:r>
      <w:r>
        <w:t xml:space="preserve">较低。</w:t>
      </w:r>
    </w:p>
    <w:p>
      <w:pPr>
        <w:pStyle w:val="a9"/>
      </w:pPr>
      <w:r>
        <w:t xml:space="preserve">4、模态质量评估与可靠度计算模块</w:t>
      </w:r>
    </w:p>
    <w:p>
      <w:pPr>
        <w:pStyle w:val="a9"/>
      </w:pPr>
      <w:r>
        <w:t xml:space="preserve">模态质量评估与可靠度计算模块用于评估每个模态在当前样本和当前场景下是否可信。模态可靠度不采用固定全局权重，而是由当前样本质量、模态不确定性、历史校准误差、缺失惩罚和场景适配性共同确定。在一种实施方式中，可靠度计算式为：</w:t>
      </w:r>
    </w:p>
    <w:p>
      <w:pPr>
        <w:pStyle w:val="a9"/>
      </w:pPr>
      <m:oMathPara>
        <m:oMathParaPr>
          <m:jc m:val="center"/>
        </m:oMathParaPr>
        <m:oMath>
          <m:sSub>
            <m:e>
              <m:r>
                <m:t>r</m:t>
              </m:r>
            </m:e>
            <m:sub>
              <m:r>
                <m:t>m</m:t>
              </m:r>
            </m:sub>
          </m:sSub>
          <m:r>
            <m:t>=</m:t>
          </m:r>
          <m:r>
            <m:t>σ</m:t>
          </m:r>
          <m:r>
            <m:t>(</m:t>
          </m:r>
          <m:sSub>
            <m:e>
              <m:r>
                <m:t>a</m:t>
              </m:r>
            </m:e>
            <m:sub>
              <m:r>
                <m:t>1</m:t>
              </m:r>
            </m:sub>
          </m:sSub>
          <m:sSub>
            <m:e>
              <m:r>
                <m:t>q</m:t>
              </m:r>
            </m:e>
            <m:sub>
              <m:r>
                <m:t>m</m:t>
              </m:r>
            </m:sub>
          </m:sSub>
          <m:r>
            <m:t>−</m:t>
          </m:r>
          <m:sSub>
            <m:e>
              <m:r>
                <m:t>a</m:t>
              </m:r>
            </m:e>
            <m:sub>
              <m:r>
                <m:t>2</m:t>
              </m:r>
            </m:sub>
          </m:sSub>
          <m:sSub>
            <m:e>
              <m:r>
                <m:t>u</m:t>
              </m:r>
            </m:e>
            <m:sub>
              <m:r>
                <m:t>m</m:t>
              </m:r>
            </m:sub>
          </m:sSub>
          <m:r>
            <m:t>−</m:t>
          </m:r>
          <m:sSub>
            <m:e>
              <m:r>
                <m:t>a</m:t>
              </m:r>
            </m:e>
            <m:sub>
              <m:r>
                <m:t>3</m:t>
              </m:r>
            </m:sub>
          </m:sSub>
          <m:r>
            <m:t>e</m:t>
          </m:r>
          <m:r>
            <m:t>c</m:t>
          </m:r>
          <m:sSub>
            <m:e>
              <m:r>
                <m:t>e</m:t>
              </m:r>
            </m:e>
            <m:sub>
              <m:r>
                <m:t>m</m:t>
              </m:r>
            </m:sub>
          </m:sSub>
          <m:r>
            <m:t>−</m:t>
          </m:r>
          <m:sSub>
            <m:e>
              <m:r>
                <m:t>a</m:t>
              </m:r>
            </m:e>
            <m:sub>
              <m:r>
                <m:t>4</m:t>
              </m:r>
            </m:sub>
          </m:sSub>
          <m:r>
            <m:t>m</m:t>
          </m:r>
          <m:r>
            <m:t>i</m:t>
          </m:r>
          <m:r>
            <m:t>s</m:t>
          </m:r>
          <m:sSub>
            <m:e>
              <m:r>
                <m:t>s</m:t>
              </m:r>
            </m:e>
            <m:sub>
              <m:r>
                <m:t>m</m:t>
              </m:r>
            </m:sub>
          </m:sSub>
          <m:r>
            <m:t>+</m:t>
          </m:r>
          <m:sSub>
            <m:e>
              <m:r>
                <m:t>a</m:t>
              </m:r>
            </m:e>
            <m:sub>
              <m:r>
                <m:t>5</m:t>
              </m:r>
            </m:sub>
          </m:sSub>
          <m:r>
            <m:t>s</m:t>
          </m:r>
          <m:r>
            <m:t>c</m:t>
          </m:r>
          <m:r>
            <m:t>e</m:t>
          </m:r>
          <m:r>
            <m:t>n</m:t>
          </m:r>
          <m:sSub>
            <m:e>
              <m:r>
                <m:t>e</m:t>
              </m:r>
            </m:e>
            <m:sub>
              <m:r>
                <m:t>m</m:t>
              </m:r>
            </m:sub>
          </m:sSub>
          <m:r>
            <m:t>)</m:t>
          </m:r>
        </m:oMath>
      </m:oMathPara>
    </w:p>
    <w:p>
      <w:pPr>
        <w:pStyle w:val="FirstParagraph"/>
      </w:pPr>
      <w:r>
        <w:t xml:space="preserve">其中，</w:t>
      </w:r>
      <m:oMath>
        <m:sSub>
          <m:e>
            <m:r>
              <m:t>q</m:t>
            </m:r>
          </m:e>
          <m:sub>
            <m:r>
              <m:t>m</m:t>
            </m:r>
          </m:sub>
        </m:sSub>
      </m:oMath>
      <w:r>
        <w:t xml:space="preserve"> </w:t>
      </w:r>
      <w:r>
        <w:t xml:space="preserve">表示模态质量分数，</w:t>
      </w:r>
      <m:oMath>
        <m:sSub>
          <m:e>
            <m:r>
              <m:t>u</m:t>
            </m:r>
          </m:e>
          <m:sub>
            <m:r>
              <m:t>m</m:t>
            </m:r>
          </m:sub>
        </m:sSub>
      </m:oMath>
      <w:r>
        <w:t xml:space="preserve"> </w:t>
      </w:r>
      <w:r>
        <w:t xml:space="preserve">表示模态不确定性，</w:t>
      </w:r>
      <m:oMath>
        <m:r>
          <m:t>e</m:t>
        </m:r>
        <m:r>
          <m:t>c</m:t>
        </m:r>
        <m:sSub>
          <m:e>
            <m:r>
              <m:t>e</m:t>
            </m:r>
          </m:e>
          <m:sub>
            <m:r>
              <m:t>m</m:t>
            </m:r>
          </m:sub>
        </m:sSub>
      </m:oMath>
      <w:r>
        <w:t xml:space="preserve"> </w:t>
      </w:r>
      <w:r>
        <w:t xml:space="preserve">表示该模态在历史窗口中的校准误差，</w:t>
      </w:r>
      <m:oMath>
        <m:r>
          <m:t>m</m:t>
        </m:r>
        <m:r>
          <m:t>i</m:t>
        </m:r>
        <m:r>
          <m:t>s</m:t>
        </m:r>
        <m:sSub>
          <m:e>
            <m:r>
              <m:t>s</m:t>
            </m:r>
          </m:e>
          <m:sub>
            <m:r>
              <m:t>m</m:t>
            </m:r>
          </m:sub>
        </m:sSub>
      </m:oMath>
      <w:r>
        <w:t xml:space="preserve"> </w:t>
      </w:r>
      <w:r>
        <w:t xml:space="preserve">表示字段缺失、采样不足、短流或解析失败带来的惩罚，</w:t>
      </w:r>
      <m:oMath>
        <m:r>
          <m:t>s</m:t>
        </m:r>
        <m:r>
          <m:t>c</m:t>
        </m:r>
        <m:r>
          <m:t>e</m:t>
        </m:r>
        <m:r>
          <m:t>n</m:t>
        </m:r>
        <m:sSub>
          <m:e>
            <m:r>
              <m:t>e</m:t>
            </m:r>
          </m:e>
          <m:sub>
            <m:r>
              <m:t>m</m:t>
            </m:r>
          </m:sub>
        </m:sSub>
      </m:oMath>
      <w:r>
        <w:t xml:space="preserve"> </w:t>
      </w:r>
      <w:r>
        <w:t xml:space="preserve">表示该模态在当前协议类型、资产组、业务域和时间窗口下的适配程度，</w:t>
      </w:r>
      <m:oMath>
        <m:sSub>
          <m:e>
            <m:r>
              <m:t>a</m:t>
            </m:r>
          </m:e>
          <m:sub>
            <m:r>
              <m:t>1</m:t>
            </m:r>
          </m:sub>
        </m:sSub>
      </m:oMath>
      <w:r>
        <w:t xml:space="preserve"> </w:t>
      </w:r>
      <w:r>
        <w:t xml:space="preserve">至</w:t>
      </w:r>
      <w:r>
        <w:t xml:space="preserve"> </w:t>
      </w:r>
      <m:oMath>
        <m:sSub>
          <m:e>
            <m:r>
              <m:t>a</m:t>
            </m:r>
          </m:e>
          <m:sub>
            <m:r>
              <m:t>5</m:t>
            </m:r>
          </m:sub>
        </m:sSub>
      </m:oMath>
      <w:r>
        <w:t xml:space="preserve"> </w:t>
      </w:r>
      <w:r>
        <w:t xml:space="preserve">为可配置或可训练参数，</w:t>
      </w:r>
      <m:oMath>
        <m:r>
          <m:t>σ</m:t>
        </m:r>
      </m:oMath>
      <w:r>
        <w:t xml:space="preserve"> </w:t>
      </w:r>
      <w:r>
        <w:t xml:space="preserve">为 sigmoid 函数。</w:t>
      </w:r>
    </w:p>
    <w:p>
      <w:pPr>
        <w:pStyle w:val="a9"/>
      </w:pPr>
      <w:r>
        <w:t xml:space="preserve">模态可靠度的意义在于：同一模态在不同场景下不应具有相同权重。例如，在 TLS 场景下 JA3/JA4 和证书摘要可能具有较强辨识力；在 QUIC 场景下部分握手字段不可见或解析难度较高，协议模态可靠度应相应降低；对于只包含少量包的短流，包序列模态可靠度应降低；对于 NAT 或代理环境导致图邻居混杂的资产组，关系图模态可靠度也应进行场景化校准。</w:t>
      </w:r>
    </w:p>
    <w:p>
      <w:pPr>
        <w:pStyle w:val="a9"/>
      </w:pPr>
      <w:r>
        <w:t xml:space="preserve">5、证据冲突计算模块</w:t>
      </w:r>
    </w:p>
    <w:p>
      <w:pPr>
        <w:pStyle w:val="a9"/>
      </w:pPr>
      <w:r>
        <w:t xml:space="preserve">证据冲突计算模块用于显式计算模态之间是否相互矛盾。对于任意两个模态</w:t>
      </w:r>
      <w:r>
        <w:t xml:space="preserve"> </w:t>
      </w:r>
      <m:oMath>
        <m:r>
          <m:t>i</m:t>
        </m:r>
      </m:oMath>
      <w:r>
        <w:t xml:space="preserve"> </w:t>
      </w:r>
      <w:r>
        <w:t xml:space="preserve">和</w:t>
      </w:r>
      <w:r>
        <w:t xml:space="preserve"> </w:t>
      </w:r>
      <m:oMath>
        <m:r>
          <m:t>j</m:t>
        </m:r>
      </m:oMath>
      <w:r>
        <w:t xml:space="preserve">，系统根据类别 belief 分布差异、不确定性和可靠度计算冲突分数。在一种实施方式中，使用 Jensen-Shannon 差异计算：</w:t>
      </w:r>
    </w:p>
    <w:p>
      <w:pPr>
        <w:pStyle w:val="a9"/>
      </w:pPr>
      <m:oMathPara>
        <m:oMathParaPr>
          <m:jc m:val="center"/>
        </m:oMathParaPr>
        <m:oMath>
          <m:sSub>
            <m:e>
              <m:r>
                <m:t>C</m:t>
              </m:r>
            </m:e>
            <m:sub>
              <m:r>
                <m:t>i</m:t>
              </m:r>
              <m:r>
                <m:t>,</m:t>
              </m:r>
              <m:r>
                <m:t>j</m:t>
              </m:r>
            </m:sub>
          </m:sSub>
          <m:r>
            <m:t>=</m:t>
          </m:r>
          <m:r>
            <m:t>J</m:t>
          </m:r>
          <m:r>
            <m:t>S</m:t>
          </m:r>
          <m:r>
            <m:t>(</m:t>
          </m:r>
          <m:sSub>
            <m:e>
              <m:r>
                <m:t>b</m:t>
              </m:r>
            </m:e>
            <m:sub>
              <m:r>
                <m:t>i</m:t>
              </m:r>
            </m:sub>
          </m:sSub>
          <m:r>
            <m:t>,</m:t>
          </m:r>
          <m:sSub>
            <m:e>
              <m:r>
                <m:t>b</m:t>
              </m:r>
            </m:e>
            <m:sub>
              <m:r>
                <m:t>j</m:t>
              </m:r>
            </m:sub>
          </m:sSub>
          <m:r>
            <m:t>)</m:t>
          </m:r>
          <m:r>
            <m:t>⋅</m:t>
          </m:r>
          <m:rad>
            <m:radPr>
              <m:degHide m:val="1"/>
            </m:radPr>
            <m:deg/>
            <m:e>
              <m:r>
                <m:t>(</m:t>
              </m:r>
              <m:r>
                <m:t>1</m:t>
              </m:r>
              <m:r>
                <m:t>−</m:t>
              </m:r>
              <m:sSub>
                <m:e>
                  <m:r>
                    <m:t>u</m:t>
                  </m:r>
                </m:e>
                <m:sub>
                  <m:r>
                    <m:t>i</m:t>
                  </m:r>
                </m:sub>
              </m:sSub>
              <m:r>
                <m:t>)</m:t>
              </m:r>
              <m:r>
                <m:t>(</m:t>
              </m:r>
              <m:r>
                <m:t>1</m:t>
              </m:r>
              <m:r>
                <m:t>−</m:t>
              </m:r>
              <m:sSub>
                <m:e>
                  <m:r>
                    <m:t>u</m:t>
                  </m:r>
                </m:e>
                <m:sub>
                  <m:r>
                    <m:t>j</m:t>
                  </m:r>
                </m:sub>
              </m:sSub>
              <m:r>
                <m:t>)</m:t>
              </m:r>
            </m:e>
          </m:rad>
          <m:r>
            <m:t>⋅</m:t>
          </m:r>
          <m:rad>
            <m:radPr>
              <m:degHide m:val="1"/>
            </m:radPr>
            <m:deg/>
            <m:e>
              <m:sSub>
                <m:e>
                  <m:r>
                    <m:t>r</m:t>
                  </m:r>
                </m:e>
                <m:sub>
                  <m:r>
                    <m:t>i</m:t>
                  </m:r>
                </m:sub>
              </m:sSub>
              <m:sSub>
                <m:e>
                  <m:r>
                    <m:t>r</m:t>
                  </m:r>
                </m:e>
                <m:sub>
                  <m:r>
                    <m:t>j</m:t>
                  </m:r>
                </m:sub>
              </m:sSub>
            </m:e>
          </m:rad>
        </m:oMath>
      </m:oMathPara>
    </w:p>
    <w:p>
      <w:pPr>
        <w:pStyle w:val="FirstParagraph"/>
      </w:pPr>
      <w:r>
        <w:t xml:space="preserve">其中，</w:t>
      </w:r>
      <m:oMath>
        <m:r>
          <m:t>J</m:t>
        </m:r>
        <m:r>
          <m:t>S</m:t>
        </m:r>
        <m:r>
          <m:t>(</m:t>
        </m:r>
        <m:sSub>
          <m:e>
            <m:r>
              <m:t>b</m:t>
            </m:r>
          </m:e>
          <m:sub>
            <m:r>
              <m:t>i</m:t>
            </m:r>
          </m:sub>
        </m:sSub>
        <m:r>
          <m:t>,</m:t>
        </m:r>
        <m:sSub>
          <m:e>
            <m:r>
              <m:t>b</m:t>
            </m:r>
          </m:e>
          <m:sub>
            <m:r>
              <m:t>j</m:t>
            </m:r>
          </m:sub>
        </m:sSub>
        <m:r>
          <m:t>)</m:t>
        </m:r>
      </m:oMath>
      <w:r>
        <w:t xml:space="preserve"> </w:t>
      </w:r>
      <w:r>
        <w:t xml:space="preserve">表示两个模态 belief 分布的 Jensen-Shannon 差异，</w:t>
      </w:r>
      <m:oMath>
        <m:sSub>
          <m:e>
            <m:r>
              <m:t>u</m:t>
            </m:r>
          </m:e>
          <m:sub>
            <m:r>
              <m:t>i</m:t>
            </m:r>
          </m:sub>
        </m:sSub>
      </m:oMath>
      <w:r>
        <w:t xml:space="preserve"> </w:t>
      </w:r>
      <w:r>
        <w:t xml:space="preserve">和</w:t>
      </w:r>
      <w:r>
        <w:t xml:space="preserve"> </w:t>
      </w:r>
      <m:oMath>
        <m:sSub>
          <m:e>
            <m:r>
              <m:t>u</m:t>
            </m:r>
          </m:e>
          <m:sub>
            <m:r>
              <m:t>j</m:t>
            </m:r>
          </m:sub>
        </m:sSub>
      </m:oMath>
      <w:r>
        <w:t xml:space="preserve"> </w:t>
      </w:r>
      <w:r>
        <w:t xml:space="preserve">表示模态不确定性，</w:t>
      </w:r>
      <m:oMath>
        <m:sSub>
          <m:e>
            <m:r>
              <m:t>r</m:t>
            </m:r>
          </m:e>
          <m:sub>
            <m:r>
              <m:t>i</m:t>
            </m:r>
          </m:sub>
        </m:sSub>
      </m:oMath>
      <w:r>
        <w:t xml:space="preserve"> </w:t>
      </w:r>
      <w:r>
        <w:t xml:space="preserve">和</w:t>
      </w:r>
      <w:r>
        <w:t xml:space="preserve"> </w:t>
      </w:r>
      <m:oMath>
        <m:sSub>
          <m:e>
            <m:r>
              <m:t>r</m:t>
            </m:r>
          </m:e>
          <m:sub>
            <m:r>
              <m:t>j</m:t>
            </m:r>
          </m:sub>
        </m:sSub>
      </m:oMath>
      <w:r>
        <w:t xml:space="preserve"> </w:t>
      </w:r>
      <w:r>
        <w:t xml:space="preserve">表示模态可靠度。该定义的直观含义是：如果两个模态的判断差异很大，且这两个模态自身都较确定、质量也较高，则说明这不是普通缺失或随机噪声，而是需要重视的证据冲突；相反，如果其中一个模态本身高度不确定或可靠度很低，则不应过度放大冲突。</w:t>
      </w:r>
    </w:p>
    <w:p>
      <w:pPr>
        <w:pStyle w:val="a9"/>
      </w:pPr>
      <w:r>
        <w:t xml:space="preserve">在另一种实施方式中，系统可以采用余弦差异、KL 散度、L1 距离、Wasserstein 距离或学习得到的冲突评分函数，例如：</w:t>
      </w:r>
    </w:p>
    <w:p>
      <w:pPr>
        <w:pStyle w:val="a9"/>
      </w:pPr>
      <m:oMathPara>
        <m:oMathParaPr>
          <m:jc m:val="center"/>
        </m:oMathParaPr>
        <m:oMath>
          <m:sSub>
            <m:e>
              <m:r>
                <m:t>D</m:t>
              </m:r>
            </m:e>
            <m:sub>
              <m:r>
                <m:t>i</m:t>
              </m:r>
              <m:r>
                <m:t>,</m:t>
              </m:r>
              <m:r>
                <m:t>j</m:t>
              </m:r>
            </m:sub>
          </m:sSub>
          <m:r>
            <m:t>=</m:t>
          </m:r>
          <m:r>
            <m:t>1</m:t>
          </m:r>
          <m:r>
            <m:t>−</m:t>
          </m:r>
          <m:r>
            <m:t>c</m:t>
          </m:r>
          <m:r>
            <m:t>o</m:t>
          </m:r>
          <m:r>
            <m:t>s</m:t>
          </m:r>
          <m:r>
            <m:t>i</m:t>
          </m:r>
          <m:r>
            <m:t>n</m:t>
          </m:r>
          <m:r>
            <m:t>e</m:t>
          </m:r>
          <m:r>
            <m:t>(</m:t>
          </m:r>
          <m:sSub>
            <m:e>
              <m:r>
                <m:t>b</m:t>
              </m:r>
            </m:e>
            <m:sub>
              <m:r>
                <m:t>i</m:t>
              </m:r>
            </m:sub>
          </m:sSub>
          <m:r>
            <m:t>,</m:t>
          </m:r>
          <m:sSub>
            <m:e>
              <m:r>
                <m:t>b</m:t>
              </m:r>
            </m:e>
            <m:sub>
              <m:r>
                <m:t>j</m:t>
              </m:r>
            </m:sub>
          </m:sSub>
          <m:r>
            <m:t>)</m:t>
          </m:r>
        </m:oMath>
      </m:oMathPara>
    </w:p>
    <w:p>
      <w:pPr>
        <w:pStyle w:val="FirstParagraph"/>
      </w:pPr>
      <m:oMathPara>
        <m:oMathParaPr>
          <m:jc m:val="center"/>
        </m:oMathParaPr>
        <m:oMath>
          <m:sSub>
            <m:e>
              <m:r>
                <m:t>C</m:t>
              </m:r>
            </m:e>
            <m:sub>
              <m:r>
                <m:t>i</m:t>
              </m:r>
              <m:r>
                <m:t>,</m:t>
              </m:r>
              <m:r>
                <m:t>j</m:t>
              </m:r>
            </m:sub>
          </m:sSub>
          <m:r>
            <m:t>=</m:t>
          </m:r>
          <m:sSub>
            <m:e>
              <m:r>
                <m:t>D</m:t>
              </m:r>
            </m:e>
            <m:sub>
              <m:r>
                <m:t>i</m:t>
              </m:r>
              <m:r>
                <m:t>,</m:t>
              </m:r>
              <m:r>
                <m:t>j</m:t>
              </m:r>
            </m:sub>
          </m:sSub>
          <m:r>
            <m:t>⋅</m:t>
          </m:r>
          <m:r>
            <m:t>(</m:t>
          </m:r>
          <m:r>
            <m:t>1</m:t>
          </m:r>
          <m:r>
            <m:t>−</m:t>
          </m:r>
          <m:r>
            <m:rPr>
              <m:sty m:val="p"/>
            </m:rPr>
            <m:t>min</m:t>
          </m:r>
          <m:r>
            <m:t>(</m:t>
          </m:r>
          <m:sSub>
            <m:e>
              <m:r>
                <m:t>u</m:t>
              </m:r>
            </m:e>
            <m:sub>
              <m:r>
                <m:t>i</m:t>
              </m:r>
            </m:sub>
          </m:sSub>
          <m:r>
            <m:t>,</m:t>
          </m:r>
          <m:sSub>
            <m:e>
              <m:r>
                <m:t>u</m:t>
              </m:r>
            </m:e>
            <m:sub>
              <m:r>
                <m:t>j</m:t>
              </m:r>
            </m:sub>
          </m:sSub>
          <m:r>
            <m:t>)</m:t>
          </m:r>
          <m:r>
            <m:t>)</m:t>
          </m:r>
          <m:r>
            <m:t>⋅</m:t>
          </m:r>
          <m:rad>
            <m:radPr>
              <m:degHide m:val="1"/>
            </m:radPr>
            <m:deg/>
            <m:e>
              <m:sSub>
                <m:e>
                  <m:r>
                    <m:t>r</m:t>
                  </m:r>
                </m:e>
                <m:sub>
                  <m:r>
                    <m:t>i</m:t>
                  </m:r>
                </m:sub>
              </m:sSub>
              <m:sSub>
                <m:e>
                  <m:r>
                    <m:t>r</m:t>
                  </m:r>
                </m:e>
                <m:sub>
                  <m:r>
                    <m:t>j</m:t>
                  </m:r>
                </m:sub>
              </m:sSub>
            </m:e>
          </m:rad>
        </m:oMath>
      </m:oMathPara>
    </w:p>
    <w:p>
      <w:pPr>
        <w:pStyle w:val="FirstParagraph"/>
      </w:pPr>
      <w:r>
        <w:t xml:space="preserve">系统形成冲突矩阵：</w:t>
      </w:r>
    </w:p>
    <w:p>
      <w:pPr>
        <w:pStyle w:val="a9"/>
      </w:pPr>
      <m:oMathPara>
        <m:oMathParaPr>
          <m:jc m:val="center"/>
        </m:oMathParaPr>
        <m:oMath>
          <m:r>
            <m:t>C</m:t>
          </m:r>
          <m:r>
            <m:t>=</m:t>
          </m:r>
          <m:r>
            <m:t>[</m:t>
          </m:r>
          <m:sSub>
            <m:e>
              <m:r>
                <m:t>C</m:t>
              </m:r>
            </m:e>
            <m:sub>
              <m:r>
                <m:t>i</m:t>
              </m:r>
              <m:r>
                <m:t>,</m:t>
              </m:r>
              <m:r>
                <m:t>j</m:t>
              </m:r>
            </m:sub>
          </m:sSub>
          <m:sSub>
            <m:e>
              <m:r>
                <m:t>]</m:t>
              </m:r>
            </m:e>
            <m:sub>
              <m:r>
                <m:t>|</m:t>
              </m:r>
              <m:r>
                <m:t>M</m:t>
              </m:r>
              <m:r>
                <m:t>|</m:t>
              </m:r>
              <m:r>
                <m:t>×</m:t>
              </m:r>
              <m:r>
                <m:t>|</m:t>
              </m:r>
              <m:r>
                <m:t>M</m:t>
              </m:r>
              <m:r>
                <m:t>|</m:t>
              </m:r>
            </m:sub>
          </m:sSub>
        </m:oMath>
      </m:oMathPara>
    </w:p>
    <w:p>
      <w:pPr>
        <w:pStyle w:val="FirstParagraph"/>
      </w:pPr>
      <w:r>
        <w:t xml:space="preserve">并计算全局冲突度和单模态冲突度：</w:t>
      </w:r>
    </w:p>
    <w:p>
      <w:pPr>
        <w:pStyle w:val="a9"/>
      </w:pPr>
      <m:oMathPara>
        <m:oMathParaPr>
          <m:jc m:val="center"/>
        </m:oMathParaPr>
        <m:oMath>
          <m:sSub>
            <m:e>
              <m:r>
                <m:t>C</m:t>
              </m:r>
            </m:e>
            <m:sub>
              <m:r>
                <m:t>g</m:t>
              </m:r>
              <m:r>
                <m:t>l</m:t>
              </m:r>
              <m:r>
                <m:t>o</m:t>
              </m:r>
              <m:r>
                <m:t>b</m:t>
              </m:r>
              <m:r>
                <m:t>a</m:t>
              </m:r>
              <m:r>
                <m:t>l</m:t>
              </m:r>
            </m:sub>
          </m:sSub>
          <m:r>
            <m:t>=</m:t>
          </m:r>
          <m:f>
            <m:fPr>
              <m:type m:val="bar"/>
            </m:fPr>
            <m:num>
              <m:r>
                <m:t>2</m:t>
              </m:r>
            </m:num>
            <m:den>
              <m:r>
                <m:t>|</m:t>
              </m:r>
              <m:r>
                <m:t>M</m:t>
              </m:r>
              <m:r>
                <m:t>|</m:t>
              </m:r>
              <m:r>
                <m:t>(</m:t>
              </m:r>
              <m:r>
                <m:t>|</m:t>
              </m:r>
              <m:r>
                <m:t>M</m:t>
              </m:r>
              <m:r>
                <m:t>|</m:t>
              </m:r>
              <m:r>
                <m:t>−</m:t>
              </m:r>
              <m:r>
                <m:t>1</m:t>
              </m:r>
              <m:r>
                <m:t>)</m:t>
              </m:r>
            </m:den>
          </m:f>
          <m:nary>
            <m:naryPr>
              <m:chr m:val="∑"/>
              <m:limLoc m:val="undOvr"/>
              <m:subHide m:val="0"/>
              <m:supHide m:val="1"/>
            </m:naryPr>
            <m:sub>
              <m:r>
                <m:t>i</m:t>
              </m:r>
              <m:r>
                <m:t>&lt;</m:t>
              </m:r>
              <m:r>
                <m:t>j</m:t>
              </m:r>
            </m:sub>
            <m:sup/>
            <m:e>
              <m:sSub>
                <m:e>
                  <m:r>
                    <m:t>C</m:t>
                  </m:r>
                </m:e>
                <m:sub>
                  <m:r>
                    <m:t>i</m:t>
                  </m:r>
                  <m:r>
                    <m:t>,</m:t>
                  </m:r>
                  <m:r>
                    <m:t>j</m:t>
                  </m:r>
                </m:sub>
              </m:sSub>
            </m:e>
          </m:nary>
        </m:oMath>
      </m:oMathPara>
    </w:p>
    <w:p>
      <w:pPr>
        <w:pStyle w:val="FirstParagraph"/>
      </w:pPr>
      <m:oMathPara>
        <m:oMathParaPr>
          <m:jc m:val="center"/>
        </m:oMathParaPr>
        <m:oMath>
          <m:sSub>
            <m:e>
              <m:r>
                <m:t>c</m:t>
              </m:r>
            </m:e>
            <m:sub>
              <m:r>
                <m:t>m</m:t>
              </m:r>
            </m:sub>
          </m:sSub>
          <m:r>
            <m:t>=</m:t>
          </m:r>
          <m:f>
            <m:fPr>
              <m:type m:val="bar"/>
            </m:fPr>
            <m:num>
              <m:r>
                <m:t>1</m:t>
              </m:r>
            </m:num>
            <m:den>
              <m:r>
                <m:t>|</m:t>
              </m:r>
              <m:r>
                <m:t>M</m:t>
              </m:r>
              <m:r>
                <m:t>|</m:t>
              </m:r>
              <m:r>
                <m:t>−</m:t>
              </m:r>
              <m:r>
                <m:t>1</m:t>
              </m:r>
            </m:den>
          </m:f>
          <m:nary>
            <m:naryPr>
              <m:chr m:val="∑"/>
              <m:limLoc m:val="undOvr"/>
              <m:subHide m:val="0"/>
              <m:supHide m:val="1"/>
            </m:naryPr>
            <m:sub>
              <m:r>
                <m:t>j</m:t>
              </m:r>
              <m:r>
                <m:t>≠</m:t>
              </m:r>
              <m:r>
                <m:t>m</m:t>
              </m:r>
            </m:sub>
            <m:sup/>
            <m:e>
              <m:sSub>
                <m:e>
                  <m:r>
                    <m:t>C</m:t>
                  </m:r>
                </m:e>
                <m:sub>
                  <m:r>
                    <m:t>m</m:t>
                  </m:r>
                  <m:r>
                    <m:t>,</m:t>
                  </m:r>
                  <m:r>
                    <m:t>j</m:t>
                  </m:r>
                </m:sub>
              </m:sSub>
            </m:e>
          </m:nary>
        </m:oMath>
      </m:oMathPara>
    </w:p>
    <w:p>
      <w:pPr>
        <w:pStyle w:val="FirstParagraph"/>
      </w:pPr>
      <w:r>
        <w:t xml:space="preserve">其中，</w:t>
      </w:r>
      <m:oMath>
        <m:sSub>
          <m:e>
            <m:r>
              <m:t>C</m:t>
            </m:r>
          </m:e>
          <m:sub>
            <m:r>
              <m:t>g</m:t>
            </m:r>
            <m:r>
              <m:t>l</m:t>
            </m:r>
            <m:r>
              <m:t>o</m:t>
            </m:r>
            <m:r>
              <m:t>b</m:t>
            </m:r>
            <m:r>
              <m:t>a</m:t>
            </m:r>
            <m:r>
              <m:t>l</m:t>
            </m:r>
          </m:sub>
        </m:sSub>
      </m:oMath>
      <w:r>
        <w:t xml:space="preserve"> </w:t>
      </w:r>
      <w:r>
        <w:t xml:space="preserve">用于整体判断该流量对象是否存在明显多模态证据冲突，</w:t>
      </w:r>
      <m:oMath>
        <m:sSub>
          <m:e>
            <m:r>
              <m:t>c</m:t>
            </m:r>
          </m:e>
          <m:sub>
            <m:r>
              <m:t>m</m:t>
            </m:r>
          </m:sub>
        </m:sSub>
      </m:oMath>
      <w:r>
        <w:t xml:space="preserve"> </w:t>
      </w:r>
      <w:r>
        <w:t xml:space="preserve">用于判断某个模态是否与其他模态长期不一致。系统将冲突矩阵、最高冲突模态对和冲突解释写入证据包。</w:t>
      </w:r>
    </w:p>
    <w:p>
      <w:pPr>
        <w:pStyle w:val="a9"/>
      </w:pPr>
      <w:r>
        <w:t xml:space="preserve">6、自适应折扣融合模块</w:t>
      </w:r>
    </w:p>
    <w:p>
      <w:pPr>
        <w:pStyle w:val="a9"/>
      </w:pPr>
      <w:r>
        <w:t xml:space="preserve">自适应折扣融合模块用于根据模态可靠度和单模态冲突度对每个模态证据进行折扣。折扣系数可以表示为：</w:t>
      </w:r>
    </w:p>
    <w:p>
      <w:pPr>
        <w:pStyle w:val="a9"/>
      </w:pPr>
      <m:oMathPara>
        <m:oMathParaPr>
          <m:jc m:val="center"/>
        </m:oMathParaPr>
        <m:oMath>
          <m:sSub>
            <m:e>
              <m:r>
                <m:t>γ</m:t>
              </m:r>
            </m:e>
            <m:sub>
              <m:r>
                <m:t>m</m:t>
              </m:r>
            </m:sub>
          </m:sSub>
          <m:r>
            <m:t>=</m:t>
          </m:r>
          <m:r>
            <m:t>c</m:t>
          </m:r>
          <m:r>
            <m:t>l</m:t>
          </m:r>
          <m:r>
            <m:t>i</m:t>
          </m:r>
          <m:r>
            <m:t>p</m:t>
          </m:r>
          <m:r>
            <m:t>(</m:t>
          </m:r>
          <m:sSub>
            <m:e>
              <m:r>
                <m:t>r</m:t>
              </m:r>
            </m:e>
            <m:sub>
              <m:r>
                <m:t>m</m:t>
              </m:r>
            </m:sub>
          </m:sSub>
          <m:r>
            <m:t>⋅</m:t>
          </m:r>
          <m:r>
            <m:t>e</m:t>
          </m:r>
          <m:r>
            <m:t>x</m:t>
          </m:r>
          <m:r>
            <m:t>p</m:t>
          </m:r>
          <m:r>
            <m:t>(</m:t>
          </m:r>
          <m:r>
            <m:t>−</m:t>
          </m:r>
          <m:r>
            <m:t>λ</m:t>
          </m:r>
          <m:sSub>
            <m:e>
              <m:r>
                <m:t>c</m:t>
              </m:r>
            </m:e>
            <m:sub>
              <m:r>
                <m:t>m</m:t>
              </m:r>
            </m:sub>
          </m:sSub>
          <m:r>
            <m:t>)</m:t>
          </m:r>
          <m:r>
            <m:t>⋅</m:t>
          </m:r>
          <m:r>
            <m:t>(</m:t>
          </m:r>
          <m:r>
            <m:t>1</m:t>
          </m:r>
          <m:r>
            <m:t>−</m:t>
          </m:r>
          <m:sSub>
            <m:e>
              <m:r>
                <m:t>u</m:t>
              </m:r>
            </m:e>
            <m:sub>
              <m:r>
                <m:t>m</m:t>
              </m:r>
            </m:sub>
          </m:sSub>
          <m:sSup>
            <m:e>
              <m:r>
                <m:t>)</m:t>
              </m:r>
            </m:e>
            <m:sup>
              <m:r>
                <m:t>η</m:t>
              </m:r>
            </m:sup>
          </m:sSup>
          <m:r>
            <m:t>,</m:t>
          </m:r>
          <m:sSub>
            <m:e>
              <m:r>
                <m:t>γ</m:t>
              </m:r>
            </m:e>
            <m:sub>
              <m:r>
                <m:t>m</m:t>
              </m:r>
              <m:r>
                <m:t>i</m:t>
              </m:r>
              <m:r>
                <m:t>n</m:t>
              </m:r>
            </m:sub>
          </m:sSub>
          <m:r>
            <m:t>,</m:t>
          </m:r>
          <m:r>
            <m:t>1</m:t>
          </m:r>
          <m:r>
            <m:t>)</m:t>
          </m:r>
        </m:oMath>
      </m:oMathPara>
    </w:p>
    <w:p>
      <w:pPr>
        <w:pStyle w:val="FirstParagraph"/>
      </w:pPr>
      <w:r>
        <w:t xml:space="preserve">其中，</w:t>
      </w:r>
      <m:oMath>
        <m:r>
          <m:t>λ</m:t>
        </m:r>
      </m:oMath>
      <w:r>
        <w:t xml:space="preserve"> </w:t>
      </w:r>
      <w:r>
        <w:t xml:space="preserve">为冲突惩罚系数，</w:t>
      </w:r>
      <m:oMath>
        <m:r>
          <m:t>η</m:t>
        </m:r>
      </m:oMath>
      <w:r>
        <w:t xml:space="preserve"> </w:t>
      </w:r>
      <w:r>
        <w:t xml:space="preserve">为不确定性惩罚系数，</w:t>
      </w:r>
      <m:oMath>
        <m:sSub>
          <m:e>
            <m:r>
              <m:t>γ</m:t>
            </m:r>
          </m:e>
          <m:sub>
            <m:r>
              <m:t>m</m:t>
            </m:r>
            <m:r>
              <m:t>i</m:t>
            </m:r>
            <m:r>
              <m:t>n</m:t>
            </m:r>
          </m:sub>
        </m:sSub>
      </m:oMath>
      <w:r>
        <w:t xml:space="preserve"> </w:t>
      </w:r>
      <w:r>
        <w:t xml:space="preserve">为最低保留系数。当某一模态可靠度高、与其他模态冲突低且自身不确定性低时，</w:t>
      </w:r>
      <m:oMath>
        <m:sSub>
          <m:e>
            <m:r>
              <m:t>γ</m:t>
            </m:r>
          </m:e>
          <m:sub>
            <m:r>
              <m:t>m</m:t>
            </m:r>
          </m:sub>
        </m:sSub>
      </m:oMath>
      <w:r>
        <w:t xml:space="preserve"> </w:t>
      </w:r>
      <w:r>
        <w:t xml:space="preserve">接近 1；当某一模态缺失、污染、冲突明显或自身高度不确定时，</w:t>
      </w:r>
      <m:oMath>
        <m:sSub>
          <m:e>
            <m:r>
              <m:t>γ</m:t>
            </m:r>
          </m:e>
          <m:sub>
            <m:r>
              <m:t>m</m:t>
            </m:r>
          </m:sub>
        </m:sSub>
      </m:oMath>
      <w:r>
        <w:t xml:space="preserve"> </w:t>
      </w:r>
      <w:r>
        <w:t xml:space="preserve">降低。</w:t>
      </w:r>
    </w:p>
    <w:p>
      <w:pPr>
        <w:pStyle w:val="a9"/>
      </w:pPr>
      <w:r>
        <w:t xml:space="preserve">折扣后的证据为：</w:t>
      </w:r>
    </w:p>
    <w:p>
      <w:pPr>
        <w:pStyle w:val="a9"/>
      </w:pPr>
      <m:oMathPara>
        <m:oMathParaPr>
          <m:jc m:val="center"/>
        </m:oMathParaPr>
        <m:oMath>
          <m:r>
            <m:t>e</m:t>
          </m:r>
          <m:sSub>
            <m:e>
              <m:r>
                <m:t>′</m:t>
              </m:r>
            </m:e>
            <m:sub>
              <m:r>
                <m:t>m</m:t>
              </m:r>
              <m:r>
                <m:t>,</m:t>
              </m:r>
              <m:r>
                <m:t>k</m:t>
              </m:r>
            </m:sub>
          </m:sSub>
          <m:r>
            <m:t>=</m:t>
          </m:r>
          <m:sSub>
            <m:e>
              <m:r>
                <m:t>γ</m:t>
              </m:r>
            </m:e>
            <m:sub>
              <m:r>
                <m:t>m</m:t>
              </m:r>
            </m:sub>
          </m:sSub>
          <m:sSub>
            <m:e>
              <m:r>
                <m:t>e</m:t>
              </m:r>
            </m:e>
            <m:sub>
              <m:r>
                <m:t>m</m:t>
              </m:r>
              <m:r>
                <m:t>,</m:t>
              </m:r>
              <m:r>
                <m:t>k</m:t>
              </m:r>
            </m:sub>
          </m:sSub>
        </m:oMath>
      </m:oMathPara>
    </w:p>
    <w:p>
      <w:pPr>
        <w:pStyle w:val="FirstParagraph"/>
      </w:pPr>
      <w:r>
        <w:t xml:space="preserve">系统根据全局冲突度选择融合策略。若</w:t>
      </w:r>
      <w:r>
        <w:t xml:space="preserve"> </w:t>
      </w:r>
      <m:oMath>
        <m:sSub>
          <m:e>
            <m:r>
              <m:t>C</m:t>
            </m:r>
          </m:e>
          <m:sub>
            <m:r>
              <m:t>g</m:t>
            </m:r>
            <m:r>
              <m:t>l</m:t>
            </m:r>
            <m:r>
              <m:t>o</m:t>
            </m:r>
            <m:r>
              <m:t>b</m:t>
            </m:r>
            <m:r>
              <m:t>a</m:t>
            </m:r>
            <m:r>
              <m:t>l</m:t>
            </m:r>
          </m:sub>
        </m:sSub>
        <m:r>
          <m:t>&lt;</m:t>
        </m:r>
        <m:sSub>
          <m:e>
            <m:r>
              <m:t>τ</m:t>
            </m:r>
          </m:e>
          <m:sub>
            <m:r>
              <m:t>d</m:t>
            </m:r>
            <m:r>
              <m:t>s</m:t>
            </m:r>
          </m:sub>
        </m:sSub>
      </m:oMath>
      <w:r>
        <w:t xml:space="preserve">，则认为模态之间整体一致，可以使用 Dempster-Shafer 组合、证据加权求和或加权平均进行融合；若</w:t>
      </w:r>
      <w:r>
        <w:t xml:space="preserve"> </w:t>
      </w:r>
      <m:oMath>
        <m:sSub>
          <m:e>
            <m:r>
              <m:t>τ</m:t>
            </m:r>
          </m:e>
          <m:sub>
            <m:r>
              <m:t>d</m:t>
            </m:r>
            <m:r>
              <m:t>s</m:t>
            </m:r>
          </m:sub>
        </m:sSub>
        <m:r>
          <m:t>≤</m:t>
        </m:r>
        <m:sSub>
          <m:e>
            <m:r>
              <m:t>C</m:t>
            </m:r>
          </m:e>
          <m:sub>
            <m:r>
              <m:t>g</m:t>
            </m:r>
            <m:r>
              <m:t>l</m:t>
            </m:r>
            <m:r>
              <m:t>o</m:t>
            </m:r>
            <m:r>
              <m:t>b</m:t>
            </m:r>
            <m:r>
              <m:t>a</m:t>
            </m:r>
            <m:r>
              <m:t>l</m:t>
            </m:r>
          </m:sub>
        </m:sSub>
        <m:r>
          <m:t>&lt;</m:t>
        </m:r>
        <m:sSub>
          <m:e>
            <m:r>
              <m:t>τ</m:t>
            </m:r>
          </m:e>
          <m:sub>
            <m:r>
              <m:t>s</m:t>
            </m:r>
            <m:r>
              <m:t>a</m:t>
            </m:r>
            <m:r>
              <m:t>f</m:t>
            </m:r>
            <m:r>
              <m:t>e</m:t>
            </m:r>
          </m:sub>
        </m:sSub>
      </m:oMath>
      <w:r>
        <w:t xml:space="preserve">，则认为存在中等冲突，系统采用保守加权融合，并适当提高融合不确定性；若</w:t>
      </w:r>
      <w:r>
        <w:t xml:space="preserve"> </w:t>
      </w:r>
      <m:oMath>
        <m:sSub>
          <m:e>
            <m:r>
              <m:t>C</m:t>
            </m:r>
          </m:e>
          <m:sub>
            <m:r>
              <m:t>g</m:t>
            </m:r>
            <m:r>
              <m:t>l</m:t>
            </m:r>
            <m:r>
              <m:t>o</m:t>
            </m:r>
            <m:r>
              <m:t>b</m:t>
            </m:r>
            <m:r>
              <m:t>a</m:t>
            </m:r>
            <m:r>
              <m:t>l</m:t>
            </m:r>
          </m:sub>
        </m:sSub>
        <m:r>
          <m:t>≥</m:t>
        </m:r>
        <m:sSub>
          <m:e>
            <m:r>
              <m:t>τ</m:t>
            </m:r>
          </m:e>
          <m:sub>
            <m:r>
              <m:t>s</m:t>
            </m:r>
            <m:r>
              <m:t>a</m:t>
            </m:r>
            <m:r>
              <m:t>f</m:t>
            </m:r>
            <m:r>
              <m:t>e</m:t>
            </m:r>
          </m:sub>
        </m:sSub>
      </m:oMath>
      <w:r>
        <w:t xml:space="preserve">，则认为该流量对象具有显著证据矛盾，系统保留原始模态意见并直接进入待确认或未知风险层，而不强行得到一个看似确定的融合结论。</w:t>
      </w:r>
    </w:p>
    <w:p>
      <w:pPr>
        <w:pStyle w:val="a9"/>
      </w:pPr>
      <w:r>
        <w:t xml:space="preserve">在证据加权求和方式下，融合证据可以写为：</w:t>
      </w:r>
    </w:p>
    <w:p>
      <w:pPr>
        <w:pStyle w:val="a9"/>
      </w:pPr>
      <m:oMathPara>
        <m:oMathParaPr>
          <m:jc m:val="center"/>
        </m:oMathParaPr>
        <m:oMath>
          <m:sSub>
            <m:e>
              <m:r>
                <m:t>e</m:t>
              </m:r>
            </m:e>
            <m:sub>
              <m:r>
                <m:t>f</m:t>
              </m:r>
              <m:r>
                <m:t>u</m:t>
              </m:r>
              <m:r>
                <m:t>s</m:t>
              </m:r>
              <m:r>
                <m:t>e</m:t>
              </m:r>
              <m:r>
                <m:t>d</m:t>
              </m:r>
              <m:r>
                <m:t>,</m:t>
              </m:r>
              <m:r>
                <m:t>k</m:t>
              </m:r>
            </m:sub>
          </m:sSub>
          <m:r>
            <m:t>=</m:t>
          </m:r>
          <m:nary>
            <m:naryPr>
              <m:chr m:val="∑"/>
              <m:limLoc m:val="undOvr"/>
              <m:subHide m:val="0"/>
              <m:supHide m:val="1"/>
            </m:naryPr>
            <m:sub>
              <m:r>
                <m:t>m</m:t>
              </m:r>
              <m:r>
                <m:t>∈</m:t>
              </m:r>
              <m:r>
                <m:t>M</m:t>
              </m:r>
            </m:sub>
            <m:sup/>
            <m:e>
              <m:r>
                <m:t>e</m:t>
              </m:r>
            </m:e>
          </m:nary>
          <m:sSub>
            <m:e>
              <m:r>
                <m:t>′</m:t>
              </m:r>
            </m:e>
            <m:sub>
              <m:r>
                <m:t>m</m:t>
              </m:r>
              <m:r>
                <m:t>,</m:t>
              </m:r>
              <m:r>
                <m:t>k</m:t>
              </m:r>
            </m:sub>
          </m:sSub>
        </m:oMath>
      </m:oMathPara>
    </w:p>
    <w:p>
      <w:pPr>
        <w:pStyle w:val="FirstParagraph"/>
      </w:pPr>
      <w:r>
        <w:t xml:space="preserve">进一步得到融合信念和融合不确定性：</w:t>
      </w:r>
    </w:p>
    <w:p>
      <w:pPr>
        <w:pStyle w:val="a9"/>
      </w:pPr>
      <m:oMathPara>
        <m:oMathParaPr>
          <m:jc m:val="center"/>
        </m:oMathParaPr>
        <m:oMath>
          <m:sSub>
            <m:e>
              <m:r>
                <m:t>α</m:t>
              </m:r>
            </m:e>
            <m:sub>
              <m:r>
                <m:t>f</m:t>
              </m:r>
              <m:r>
                <m:t>,</m:t>
              </m:r>
              <m:r>
                <m:t>k</m:t>
              </m:r>
            </m:sub>
          </m:sSub>
          <m:r>
            <m:t>=</m:t>
          </m:r>
          <m:sSub>
            <m:e>
              <m:r>
                <m:t>e</m:t>
              </m:r>
            </m:e>
            <m:sub>
              <m:r>
                <m:t>f</m:t>
              </m:r>
              <m:r>
                <m:t>u</m:t>
              </m:r>
              <m:r>
                <m:t>s</m:t>
              </m:r>
              <m:r>
                <m:t>e</m:t>
              </m:r>
              <m:r>
                <m:t>d</m:t>
              </m:r>
              <m:r>
                <m:t>,</m:t>
              </m:r>
              <m:r>
                <m:t>k</m:t>
              </m:r>
            </m:sub>
          </m:sSub>
          <m:r>
            <m:t>+</m:t>
          </m:r>
          <m:r>
            <m:t>1</m:t>
          </m:r>
          <m:r>
            <m:t>,</m:t>
          </m:r>
          <m:r>
            <m:t> </m:t>
          </m:r>
          <m:sSub>
            <m:e>
              <m:r>
                <m:t>S</m:t>
              </m:r>
            </m:e>
            <m:sub>
              <m:r>
                <m:t>f</m:t>
              </m:r>
            </m:sub>
          </m:sSub>
          <m:r>
            <m:t>=</m:t>
          </m:r>
          <m:nary>
            <m:naryPr>
              <m:chr m:val="∑"/>
              <m:limLoc m:val="undOvr"/>
              <m:subHide m:val="0"/>
              <m:supHide m:val="0"/>
            </m:naryPr>
            <m:sub>
              <m:r>
                <m:t>k</m:t>
              </m:r>
              <m:r>
                <m:t>=</m:t>
              </m:r>
              <m:r>
                <m:t>1</m:t>
              </m:r>
            </m:sub>
            <m:sup>
              <m:r>
                <m:t>K</m:t>
              </m:r>
            </m:sup>
            <m:e>
              <m:sSub>
                <m:e>
                  <m:r>
                    <m:t>α</m:t>
                  </m:r>
                </m:e>
                <m:sub>
                  <m:r>
                    <m:t>f</m:t>
                  </m:r>
                  <m:r>
                    <m:t>,</m:t>
                  </m:r>
                  <m:r>
                    <m:t>k</m:t>
                  </m:r>
                </m:sub>
              </m:sSub>
            </m:e>
          </m:nary>
        </m:oMath>
      </m:oMathPara>
    </w:p>
    <w:p>
      <w:pPr>
        <w:pStyle w:val="FirstParagraph"/>
      </w:pPr>
      <m:oMathPara>
        <m:oMathParaPr>
          <m:jc m:val="center"/>
        </m:oMathParaPr>
        <m:oMath>
          <m:sSub>
            <m:e>
              <m:r>
                <m:t>b</m:t>
              </m:r>
            </m:e>
            <m:sub>
              <m:r>
                <m:t>f</m:t>
              </m:r>
              <m:r>
                <m:t>,</m:t>
              </m:r>
              <m:r>
                <m:t>k</m:t>
              </m:r>
            </m:sub>
          </m:sSub>
          <m:r>
            <m:t>=</m:t>
          </m:r>
          <m:f>
            <m:fPr>
              <m:type m:val="bar"/>
            </m:fPr>
            <m:num>
              <m:sSub>
                <m:e>
                  <m:r>
                    <m:t>e</m:t>
                  </m:r>
                </m:e>
                <m:sub>
                  <m:r>
                    <m:t>f</m:t>
                  </m:r>
                  <m:r>
                    <m:t>u</m:t>
                  </m:r>
                  <m:r>
                    <m:t>s</m:t>
                  </m:r>
                  <m:r>
                    <m:t>e</m:t>
                  </m:r>
                  <m:r>
                    <m:t>d</m:t>
                  </m:r>
                  <m:r>
                    <m:t>,</m:t>
                  </m:r>
                  <m:r>
                    <m:t>k</m:t>
                  </m:r>
                </m:sub>
              </m:sSub>
            </m:num>
            <m:den>
              <m:sSub>
                <m:e>
                  <m:r>
                    <m:t>S</m:t>
                  </m:r>
                </m:e>
                <m:sub>
                  <m:r>
                    <m:t>f</m:t>
                  </m:r>
                </m:sub>
              </m:sSub>
            </m:den>
          </m:f>
          <m:r>
            <m:t>,</m:t>
          </m:r>
          <m:r>
            <m:t> </m:t>
          </m:r>
          <m:sSub>
            <m:e>
              <m:r>
                <m:t>u</m:t>
              </m:r>
            </m:e>
            <m:sub>
              <m:r>
                <m:t>f</m:t>
              </m:r>
            </m:sub>
          </m:sSub>
          <m:r>
            <m:t>=</m:t>
          </m:r>
          <m:f>
            <m:fPr>
              <m:type m:val="bar"/>
            </m:fPr>
            <m:num>
              <m:r>
                <m:t>K</m:t>
              </m:r>
            </m:num>
            <m:den>
              <m:sSub>
                <m:e>
                  <m:r>
                    <m:t>S</m:t>
                  </m:r>
                </m:e>
                <m:sub>
                  <m:r>
                    <m:t>f</m:t>
                  </m:r>
                </m:sub>
              </m:sSub>
            </m:den>
          </m:f>
        </m:oMath>
      </m:oMathPara>
    </w:p>
    <w:p>
      <w:pPr>
        <w:pStyle w:val="FirstParagraph"/>
      </w:pPr>
      <w:r>
        <w:t xml:space="preserve">7、开放集风险判定模块</w:t>
      </w:r>
    </w:p>
    <w:p>
      <w:pPr>
        <w:pStyle w:val="a9"/>
      </w:pPr>
      <w:r>
        <w:t xml:space="preserve">开放集风险判定模块用于判断待检测流量对象属于已知类别、未知恶意候选还是待确认样本。系统不使用单一 unknown 分数，而是联合融合不确定性、全局冲突度、已知类原型距离、能量分数、最大已知类信念和场景偏离量。</w:t>
      </w:r>
    </w:p>
    <w:p>
      <w:pPr>
        <w:pStyle w:val="a9"/>
      </w:pPr>
      <w:r>
        <w:t xml:space="preserve">对于融合表示</w:t>
      </w:r>
      <w:r>
        <w:t xml:space="preserve"> </w:t>
      </w:r>
      <m:oMath>
        <m:sSub>
          <m:e>
            <m:r>
              <m:t>h</m:t>
            </m:r>
          </m:e>
          <m:sub>
            <m:r>
              <m:t>f</m:t>
            </m:r>
          </m:sub>
        </m:sSub>
      </m:oMath>
      <w:r>
        <w:t xml:space="preserve"> </w:t>
      </w:r>
      <w:r>
        <w:t xml:space="preserve">和已知类原型库</w:t>
      </w:r>
      <w:r>
        <w:t xml:space="preserve"> </w:t>
      </w:r>
      <m:oMath>
        <m:r>
          <m:t>P</m:t>
        </m:r>
        <m:r>
          <m:t>=</m:t>
        </m:r>
        <m:r>
          <m:t>{</m:t>
        </m:r>
        <m:sSub>
          <m:e>
            <m:r>
              <m:t>p</m:t>
            </m:r>
          </m:e>
          <m:sub>
            <m:r>
              <m:t>1</m:t>
            </m:r>
          </m:sub>
        </m:sSub>
        <m:r>
          <m:t>,</m:t>
        </m:r>
        <m:sSub>
          <m:e>
            <m:r>
              <m:t>p</m:t>
            </m:r>
          </m:e>
          <m:sub>
            <m:r>
              <m:t>2</m:t>
            </m:r>
          </m:sub>
        </m:sSub>
        <m:r>
          <m:t>,</m:t>
        </m:r>
        <m:r>
          <m:t>…</m:t>
        </m:r>
        <m:r>
          <m:t>,</m:t>
        </m:r>
        <m:sSub>
          <m:e>
            <m:r>
              <m:t>p</m:t>
            </m:r>
          </m:e>
          <m:sub>
            <m:r>
              <m:t>K</m:t>
            </m:r>
          </m:sub>
        </m:sSub>
        <m:r>
          <m:t>}</m:t>
        </m:r>
      </m:oMath>
      <w:r>
        <w:t xml:space="preserve">，系统计算最近原型距离：</w:t>
      </w:r>
    </w:p>
    <w:p>
      <w:pPr>
        <w:pStyle w:val="a9"/>
      </w:pPr>
      <m:oMathPara>
        <m:oMathParaPr>
          <m:jc m:val="center"/>
        </m:oMathParaPr>
        <m:oMath>
          <m:sSub>
            <m:e>
              <m:r>
                <m:t>d</m:t>
              </m:r>
            </m:e>
            <m:sub>
              <m:r>
                <m:t>p</m:t>
              </m:r>
              <m:r>
                <m:t>r</m:t>
              </m:r>
              <m:r>
                <m:t>o</m:t>
              </m:r>
              <m:r>
                <m:t>t</m:t>
              </m:r>
              <m:r>
                <m:t>o</m:t>
              </m:r>
            </m:sub>
          </m:sSub>
          <m:r>
            <m:t>=</m:t>
          </m:r>
          <m:limLow>
            <m:e>
              <m:r>
                <m:rPr>
                  <m:sty m:val="p"/>
                </m:rPr>
                <m:t>min</m:t>
              </m:r>
            </m:e>
            <m:lim>
              <m:r>
                <m:t>k</m:t>
              </m:r>
              <m:r>
                <m:t>∈</m:t>
              </m:r>
              <m:r>
                <m:t>Y</m:t>
              </m:r>
            </m:lim>
          </m:limLow>
          <m:r>
            <m:t>d</m:t>
          </m:r>
          <m:r>
            <m:t>i</m:t>
          </m:r>
          <m:r>
            <m:t>s</m:t>
          </m:r>
          <m:r>
            <m:t>t</m:t>
          </m:r>
          <m:r>
            <m:t>a</m:t>
          </m:r>
          <m:r>
            <m:t>n</m:t>
          </m:r>
          <m:r>
            <m:t>c</m:t>
          </m:r>
          <m:r>
            <m:t>e</m:t>
          </m:r>
          <m:r>
            <m:t>(</m:t>
          </m:r>
          <m:sSub>
            <m:e>
              <m:r>
                <m:t>h</m:t>
              </m:r>
            </m:e>
            <m:sub>
              <m:r>
                <m:t>f</m:t>
              </m:r>
            </m:sub>
          </m:sSub>
          <m:r>
            <m:t>,</m:t>
          </m:r>
          <m:sSub>
            <m:e>
              <m:r>
                <m:t>p</m:t>
              </m:r>
            </m:e>
            <m:sub>
              <m:r>
                <m:t>k</m:t>
              </m:r>
            </m:sub>
          </m:sSub>
          <m:r>
            <m:t>)</m:t>
          </m:r>
        </m:oMath>
      </m:oMathPara>
    </w:p>
    <w:p>
      <w:pPr>
        <w:pStyle w:val="FirstParagraph"/>
      </w:pPr>
      <w:r>
        <w:t xml:space="preserve">系统可计算能量分数：</w:t>
      </w:r>
    </w:p>
    <w:p>
      <w:pPr>
        <w:pStyle w:val="a9"/>
      </w:pPr>
      <m:oMathPara>
        <m:oMathParaPr>
          <m:jc m:val="center"/>
        </m:oMathParaPr>
        <m:oMath>
          <m:r>
            <m:t>E</m:t>
          </m:r>
          <m:r>
            <m:t>n</m:t>
          </m:r>
          <m:r>
            <m:t>e</m:t>
          </m:r>
          <m:r>
            <m:t>r</m:t>
          </m:r>
          <m:r>
            <m:t>g</m:t>
          </m:r>
          <m:r>
            <m:t>y</m:t>
          </m:r>
          <m:r>
            <m:t>(</m:t>
          </m:r>
          <m:r>
            <m:t>x</m:t>
          </m:r>
          <m:r>
            <m:t>)</m:t>
          </m:r>
          <m:r>
            <m:t>=</m:t>
          </m:r>
          <m:r>
            <m:t>−</m:t>
          </m:r>
          <m:r>
            <m:t>T</m:t>
          </m:r>
          <m:r>
            <m:rPr>
              <m:sty m:val="p"/>
            </m:rPr>
            <m:t>log</m:t>
          </m:r>
          <m:nary>
            <m:naryPr>
              <m:chr m:val="∑"/>
              <m:limLoc m:val="undOvr"/>
              <m:subHide m:val="0"/>
              <m:supHide m:val="0"/>
            </m:naryPr>
            <m:sub>
              <m:r>
                <m:t>k</m:t>
              </m:r>
              <m:r>
                <m:t>=</m:t>
              </m:r>
              <m:r>
                <m:t>1</m:t>
              </m:r>
            </m:sub>
            <m:sup>
              <m:r>
                <m:t>K</m:t>
              </m:r>
            </m:sup>
            <m:e>
              <m:r>
                <m:t>e</m:t>
              </m:r>
            </m:e>
          </m:nary>
          <m:r>
            <m:t>x</m:t>
          </m:r>
          <m:r>
            <m:t>p</m:t>
          </m:r>
          <m:r>
            <m:t>(</m:t>
          </m:r>
          <m:sSub>
            <m:e>
              <m:r>
                <m:t>g</m:t>
              </m:r>
            </m:e>
            <m:sub>
              <m:r>
                <m:t>k</m:t>
              </m:r>
            </m:sub>
          </m:sSub>
          <m:r>
            <m:t>(</m:t>
          </m:r>
          <m:r>
            <m:t>x</m:t>
          </m:r>
          <m:r>
            <m:t>)</m:t>
          </m:r>
          <m:r>
            <m:t>/</m:t>
          </m:r>
          <m:r>
            <m:t>T</m:t>
          </m:r>
          <m:r>
            <m:t>)</m:t>
          </m:r>
        </m:oMath>
      </m:oMathPara>
    </w:p>
    <w:p>
      <w:pPr>
        <w:pStyle w:val="FirstParagraph"/>
      </w:pPr>
      <w:r>
        <w:t xml:space="preserve">其中，</w:t>
      </w:r>
      <m:oMath>
        <m:sSub>
          <m:e>
            <m:r>
              <m:t>g</m:t>
            </m:r>
          </m:e>
          <m:sub>
            <m:r>
              <m:t>k</m:t>
            </m:r>
          </m:sub>
        </m:sSub>
        <m:r>
          <m:t>(</m:t>
        </m:r>
        <m:r>
          <m:t>x</m:t>
        </m:r>
        <m:r>
          <m:t>)</m:t>
        </m:r>
      </m:oMath>
      <w:r>
        <w:t xml:space="preserve"> </w:t>
      </w:r>
      <w:r>
        <w:t xml:space="preserve">表示分类头对类别</w:t>
      </w:r>
      <w:r>
        <w:t xml:space="preserve"> </w:t>
      </w:r>
      <m:oMath>
        <m:r>
          <m:t>k</m:t>
        </m:r>
      </m:oMath>
      <w:r>
        <w:t xml:space="preserve"> </w:t>
      </w:r>
      <w:r>
        <w:t xml:space="preserve">的 logit，</w:t>
      </w:r>
      <m:oMath>
        <m:r>
          <m:t>T</m:t>
        </m:r>
      </m:oMath>
      <w:r>
        <w:t xml:space="preserve"> </w:t>
      </w:r>
      <w:r>
        <w:t xml:space="preserve">为温度系数。系统还计算最大已知类信念：</w:t>
      </w:r>
    </w:p>
    <w:p>
      <w:pPr>
        <w:pStyle w:val="a9"/>
      </w:pPr>
      <m:oMathPara>
        <m:oMathParaPr>
          <m:jc m:val="center"/>
        </m:oMathParaPr>
        <m:oMath>
          <m:sSub>
            <m:e>
              <m:r>
                <m:t>p</m:t>
              </m:r>
            </m:e>
            <m:sub>
              <m:r>
                <m:t>k</m:t>
              </m:r>
              <m:r>
                <m:t>n</m:t>
              </m:r>
              <m:r>
                <m:t>o</m:t>
              </m:r>
              <m:r>
                <m:t>w</m:t>
              </m:r>
              <m:r>
                <m:t>n</m:t>
              </m:r>
            </m:sub>
          </m:sSub>
          <m:r>
            <m:t>=</m:t>
          </m:r>
          <m:limLow>
            <m:e>
              <m:r>
                <m:rPr>
                  <m:sty m:val="p"/>
                </m:rPr>
                <m:t>max</m:t>
              </m:r>
            </m:e>
            <m:lim>
              <m:r>
                <m:t>k</m:t>
              </m:r>
              <m:r>
                <m:t>∈</m:t>
              </m:r>
              <m:r>
                <m:t>Y</m:t>
              </m:r>
            </m:lim>
          </m:limLow>
          <m:sSub>
            <m:e>
              <m:r>
                <m:t>b</m:t>
              </m:r>
            </m:e>
            <m:sub>
              <m:r>
                <m:t>f</m:t>
              </m:r>
              <m:r>
                <m:t>,</m:t>
              </m:r>
              <m:r>
                <m:t>k</m:t>
              </m:r>
            </m:sub>
          </m:sSub>
        </m:oMath>
      </m:oMathPara>
    </w:p>
    <w:p>
      <w:pPr>
        <w:pStyle w:val="FirstParagraph"/>
      </w:pPr>
      <w:r>
        <w:t xml:space="preserve">开放集未知风险可表示为：</w:t>
      </w:r>
    </w:p>
    <w:p>
      <w:pPr>
        <w:pStyle w:val="a9"/>
      </w:pPr>
      <m:oMathPara>
        <m:oMathParaPr>
          <m:jc m:val="center"/>
        </m:oMathParaPr>
        <m:oMath>
          <m:sSub>
            <m:e>
              <m:r>
                <m:t>S</m:t>
              </m:r>
            </m:e>
            <m:sub>
              <m:r>
                <m:t>u</m:t>
              </m:r>
              <m:r>
                <m:t>n</m:t>
              </m:r>
              <m:r>
                <m:t>k</m:t>
              </m:r>
              <m:r>
                <m:t>n</m:t>
              </m:r>
              <m:r>
                <m:t>o</m:t>
              </m:r>
              <m:r>
                <m:t>w</m:t>
              </m:r>
              <m:r>
                <m:t>n</m:t>
              </m:r>
            </m:sub>
          </m:sSub>
          <m:r>
            <m:t>=</m:t>
          </m:r>
          <m:sSub>
            <m:e>
              <m:r>
                <m:t>a</m:t>
              </m:r>
            </m:e>
            <m:sub>
              <m:r>
                <m:t>1</m:t>
              </m:r>
            </m:sub>
          </m:sSub>
          <m:sSub>
            <m:e>
              <m:r>
                <m:t>u</m:t>
              </m:r>
            </m:e>
            <m:sub>
              <m:r>
                <m:t>f</m:t>
              </m:r>
            </m:sub>
          </m:sSub>
          <m:r>
            <m:t>+</m:t>
          </m:r>
          <m:sSub>
            <m:e>
              <m:r>
                <m:t>a</m:t>
              </m:r>
            </m:e>
            <m:sub>
              <m:r>
                <m:t>2</m:t>
              </m:r>
            </m:sub>
          </m:sSub>
          <m:sSub>
            <m:e>
              <m:r>
                <m:t>C</m:t>
              </m:r>
            </m:e>
            <m:sub>
              <m:r>
                <m:t>g</m:t>
              </m:r>
              <m:r>
                <m:t>l</m:t>
              </m:r>
              <m:r>
                <m:t>o</m:t>
              </m:r>
              <m:r>
                <m:t>b</m:t>
              </m:r>
              <m:r>
                <m:t>a</m:t>
              </m:r>
              <m:r>
                <m:t>l</m:t>
              </m:r>
            </m:sub>
          </m:sSub>
          <m:r>
            <m:t>+</m:t>
          </m:r>
          <m:sSub>
            <m:e>
              <m:r>
                <m:t>a</m:t>
              </m:r>
            </m:e>
            <m:sub>
              <m:r>
                <m:t>3</m:t>
              </m:r>
            </m:sub>
          </m:sSub>
          <m:sSub>
            <m:e>
              <m:groupChr>
                <m:groupChrPr>
                  <m:chr m:val="˜"/>
                  <m:pos m:val="top"/>
                  <m:vertJc m:val="bot"/>
                </m:groupChrPr>
                <m:e>
                  <m:r>
                    <m:t>d</m:t>
                  </m:r>
                </m:e>
              </m:groupChr>
            </m:e>
            <m:sub>
              <m:r>
                <m:t>p</m:t>
              </m:r>
              <m:r>
                <m:t>r</m:t>
              </m:r>
              <m:r>
                <m:t>o</m:t>
              </m:r>
              <m:r>
                <m:t>t</m:t>
              </m:r>
              <m:r>
                <m:t>o</m:t>
              </m:r>
            </m:sub>
          </m:sSub>
          <m:r>
            <m:t>+</m:t>
          </m:r>
          <m:sSub>
            <m:e>
              <m:r>
                <m:t>a</m:t>
              </m:r>
            </m:e>
            <m:sub>
              <m:r>
                <m:t>4</m:t>
              </m:r>
            </m:sub>
          </m:sSub>
          <m:groupChr>
            <m:groupChrPr>
              <m:chr m:val="˜"/>
              <m:pos m:val="top"/>
              <m:vertJc m:val="bot"/>
            </m:groupChrPr>
            <m:e>
              <m:r>
                <m:t>E</m:t>
              </m:r>
              <m:r>
                <m:t>n</m:t>
              </m:r>
              <m:r>
                <m:t>e</m:t>
              </m:r>
              <m:r>
                <m:t>r</m:t>
              </m:r>
              <m:r>
                <m:t>g</m:t>
              </m:r>
              <m:r>
                <m:t>y</m:t>
              </m:r>
            </m:e>
          </m:groupChr>
          <m:r>
            <m:t>+</m:t>
          </m:r>
          <m:sSub>
            <m:e>
              <m:r>
                <m:t>a</m:t>
              </m:r>
            </m:e>
            <m:sub>
              <m:r>
                <m:t>5</m:t>
              </m:r>
            </m:sub>
          </m:sSub>
          <m:r>
            <m:t>M</m:t>
          </m:r>
          <m:r>
            <m:t>a</m:t>
          </m:r>
          <m:r>
            <m:t>r</m:t>
          </m:r>
          <m:r>
            <m:t>g</m:t>
          </m:r>
          <m:r>
            <m:t>i</m:t>
          </m:r>
          <m:r>
            <m:t>n</m:t>
          </m:r>
          <m:r>
            <m:t>V</m:t>
          </m:r>
          <m:r>
            <m:t>a</m:t>
          </m:r>
          <m:r>
            <m:t>r</m:t>
          </m:r>
          <m:r>
            <m:t>−</m:t>
          </m:r>
          <m:sSub>
            <m:e>
              <m:r>
                <m:t>a</m:t>
              </m:r>
            </m:e>
            <m:sub>
              <m:r>
                <m:t>6</m:t>
              </m:r>
            </m:sub>
          </m:sSub>
          <m:sSub>
            <m:e>
              <m:r>
                <m:t>p</m:t>
              </m:r>
            </m:e>
            <m:sub>
              <m:r>
                <m:t>k</m:t>
              </m:r>
              <m:r>
                <m:t>n</m:t>
              </m:r>
              <m:r>
                <m:t>o</m:t>
              </m:r>
              <m:r>
                <m:t>w</m:t>
              </m:r>
              <m:r>
                <m:t>n</m:t>
              </m:r>
            </m:sub>
          </m:sSub>
          <m:r>
            <m:t>+</m:t>
          </m:r>
          <m:sSub>
            <m:e>
              <m:r>
                <m:t>a</m:t>
              </m:r>
            </m:e>
            <m:sub>
              <m:r>
                <m:t>7</m:t>
              </m:r>
            </m:sub>
          </m:sSub>
          <m:r>
            <m:t>O</m:t>
          </m:r>
          <m:r>
            <m:t>O</m:t>
          </m:r>
          <m:sSub>
            <m:e>
              <m:r>
                <m:t>D</m:t>
              </m:r>
            </m:e>
            <m:sub>
              <m:r>
                <m:t>s</m:t>
              </m:r>
              <m:r>
                <m:t>c</m:t>
              </m:r>
              <m:r>
                <m:t>e</m:t>
              </m:r>
              <m:r>
                <m:t>n</m:t>
              </m:r>
              <m:r>
                <m:t>e</m:t>
              </m:r>
            </m:sub>
          </m:sSub>
        </m:oMath>
      </m:oMathPara>
    </w:p>
    <w:p>
      <w:pPr>
        <w:pStyle w:val="FirstParagraph"/>
      </w:pPr>
      <w:r>
        <w:t xml:space="preserve">其中，</w:t>
      </w:r>
      <m:oMath>
        <m:sSub>
          <m:e>
            <m:groupChr>
              <m:groupChrPr>
                <m:chr m:val="˜"/>
                <m:pos m:val="top"/>
                <m:vertJc m:val="bot"/>
              </m:groupChrPr>
              <m:e>
                <m:r>
                  <m:t>d</m:t>
                </m:r>
              </m:e>
            </m:groupChr>
          </m:e>
          <m:sub>
            <m:r>
              <m:t>p</m:t>
            </m:r>
            <m:r>
              <m:t>r</m:t>
            </m:r>
            <m:r>
              <m:t>o</m:t>
            </m:r>
            <m:r>
              <m:t>t</m:t>
            </m:r>
            <m:r>
              <m:t>o</m:t>
            </m:r>
          </m:sub>
        </m:sSub>
      </m:oMath>
      <w:r>
        <w:t xml:space="preserve"> </w:t>
      </w:r>
      <w:r>
        <w:t xml:space="preserve">和</w:t>
      </w:r>
      <w:r>
        <w:t xml:space="preserve"> </w:t>
      </w:r>
      <m:oMath>
        <m:groupChr>
          <m:groupChrPr>
            <m:chr m:val="˜"/>
            <m:pos m:val="top"/>
            <m:vertJc m:val="bot"/>
          </m:groupChrPr>
          <m:e>
            <m:r>
              <m:t>E</m:t>
            </m:r>
            <m:r>
              <m:t>n</m:t>
            </m:r>
            <m:r>
              <m:t>e</m:t>
            </m:r>
            <m:r>
              <m:t>r</m:t>
            </m:r>
            <m:r>
              <m:t>g</m:t>
            </m:r>
            <m:r>
              <m:t>y</m:t>
            </m:r>
          </m:e>
        </m:groupChr>
      </m:oMath>
      <w:r>
        <w:t xml:space="preserve"> </w:t>
      </w:r>
      <w:r>
        <w:t xml:space="preserve">表示归一化后的原型距离和能量分数，</w:t>
      </w:r>
      <m:oMath>
        <m:r>
          <m:t>M</m:t>
        </m:r>
        <m:r>
          <m:t>a</m:t>
        </m:r>
        <m:r>
          <m:t>r</m:t>
        </m:r>
        <m:r>
          <m:t>g</m:t>
        </m:r>
        <m:r>
          <m:t>i</m:t>
        </m:r>
        <m:r>
          <m:t>n</m:t>
        </m:r>
        <m:r>
          <m:t>V</m:t>
        </m:r>
        <m:r>
          <m:t>a</m:t>
        </m:r>
        <m:r>
          <m:t>r</m:t>
        </m:r>
      </m:oMath>
      <w:r>
        <w:t xml:space="preserve"> </w:t>
      </w:r>
      <w:r>
        <w:t xml:space="preserve">表示 top-k 类别间边界波动项，</w:t>
      </w:r>
      <m:oMath>
        <m:r>
          <m:t>O</m:t>
        </m:r>
        <m:r>
          <m:t>O</m:t>
        </m:r>
        <m:sSub>
          <m:e>
            <m:r>
              <m:t>D</m:t>
            </m:r>
          </m:e>
          <m:sub>
            <m:r>
              <m:t>s</m:t>
            </m:r>
            <m:r>
              <m:t>c</m:t>
            </m:r>
            <m:r>
              <m:t>e</m:t>
            </m:r>
            <m:r>
              <m:t>n</m:t>
            </m:r>
            <m:r>
              <m:t>e</m:t>
            </m:r>
          </m:sub>
        </m:sSub>
      </m:oMath>
      <w:r>
        <w:t xml:space="preserve"> </w:t>
      </w:r>
      <w:r>
        <w:t xml:space="preserve">表示当前样本相对于协议类型、资产组和时间窗口历史分布的偏离量，</w:t>
      </w:r>
      <m:oMath>
        <m:sSub>
          <m:e>
            <m:r>
              <m:t>a</m:t>
            </m:r>
          </m:e>
          <m:sub>
            <m:r>
              <m:t>1</m:t>
            </m:r>
          </m:sub>
        </m:sSub>
      </m:oMath>
      <w:r>
        <w:t xml:space="preserve"> </w:t>
      </w:r>
      <w:r>
        <w:t xml:space="preserve">至</w:t>
      </w:r>
      <w:r>
        <w:t xml:space="preserve"> </w:t>
      </w:r>
      <m:oMath>
        <m:sSub>
          <m:e>
            <m:r>
              <m:t>a</m:t>
            </m:r>
          </m:e>
          <m:sub>
            <m:r>
              <m:t>7</m:t>
            </m:r>
          </m:sub>
        </m:sSub>
      </m:oMath>
      <w:r>
        <w:t xml:space="preserve"> </w:t>
      </w:r>
      <w:r>
        <w:t xml:space="preserve">为权重参数。</w:t>
      </w:r>
    </w:p>
    <w:p>
      <w:pPr>
        <w:pStyle w:val="a9"/>
      </w:pPr>
      <w:r>
        <w:t xml:space="preserve">系统维护两个或多个场景条件化阈值。场景索引可以表示为：</w:t>
      </w:r>
    </w:p>
    <w:p>
      <w:pPr>
        <w:pStyle w:val="a9"/>
      </w:pPr>
      <m:oMathPara>
        <m:oMathParaPr>
          <m:jc m:val="center"/>
        </m:oMathParaPr>
        <m:oMath>
          <m:r>
            <m:t>s</m:t>
          </m:r>
          <m:r>
            <m:t>=</m:t>
          </m:r>
          <m:r>
            <m:t>(</m:t>
          </m:r>
          <m:r>
            <m:t>p</m:t>
          </m:r>
          <m:r>
            <m:t>r</m:t>
          </m:r>
          <m:r>
            <m:t>o</m:t>
          </m:r>
          <m:r>
            <m:t>t</m:t>
          </m:r>
          <m:r>
            <m:t>o</m:t>
          </m:r>
          <m:r>
            <m:t>c</m:t>
          </m:r>
          <m:r>
            <m:t>o</m:t>
          </m:r>
          <m:r>
            <m:t>l</m:t>
          </m:r>
          <m:r>
            <m:t>,</m:t>
          </m:r>
          <m:r>
            <m:t>a</m:t>
          </m:r>
          <m:r>
            <m:t>s</m:t>
          </m:r>
          <m:r>
            <m:t>s</m:t>
          </m:r>
          <m:r>
            <m:t>e</m:t>
          </m:r>
          <m:r>
            <m:t>t</m:t>
          </m:r>
          <m:r>
            <m:t>_</m:t>
          </m:r>
          <m:r>
            <m:t>g</m:t>
          </m:r>
          <m:r>
            <m:t>r</m:t>
          </m:r>
          <m:r>
            <m:t>o</m:t>
          </m:r>
          <m:r>
            <m:t>u</m:t>
          </m:r>
          <m:r>
            <m:t>p</m:t>
          </m:r>
          <m:r>
            <m:t>,</m:t>
          </m:r>
          <m:r>
            <m:t>t</m:t>
          </m:r>
          <m:r>
            <m:t>i</m:t>
          </m:r>
          <m:r>
            <m:t>m</m:t>
          </m:r>
          <m:r>
            <m:t>e</m:t>
          </m:r>
          <m:r>
            <m:t>_</m:t>
          </m:r>
          <m:r>
            <m:t>w</m:t>
          </m:r>
          <m:r>
            <m:t>i</m:t>
          </m:r>
          <m:r>
            <m:t>n</m:t>
          </m:r>
          <m:r>
            <m:t>d</m:t>
          </m:r>
          <m:r>
            <m:t>o</m:t>
          </m:r>
          <m:r>
            <m:t>w</m:t>
          </m:r>
          <m:r>
            <m:t>,</m:t>
          </m:r>
          <m:r>
            <m:t>b</m:t>
          </m:r>
          <m:r>
            <m:t>u</m:t>
          </m:r>
          <m:r>
            <m:t>s</m:t>
          </m:r>
          <m:r>
            <m:t>i</m:t>
          </m:r>
          <m:r>
            <m:t>n</m:t>
          </m:r>
          <m:r>
            <m:t>e</m:t>
          </m:r>
          <m:r>
            <m:t>s</m:t>
          </m:r>
          <m:r>
            <m:t>s</m:t>
          </m:r>
          <m:r>
            <m:t>_</m:t>
          </m:r>
          <m:r>
            <m:t>d</m:t>
          </m:r>
          <m:r>
            <m:t>o</m:t>
          </m:r>
          <m:r>
            <m:t>m</m:t>
          </m:r>
          <m:r>
            <m:t>a</m:t>
          </m:r>
          <m:r>
            <m:t>i</m:t>
          </m:r>
          <m:r>
            <m:t>n</m:t>
          </m:r>
          <m:r>
            <m:t>)</m:t>
          </m:r>
        </m:oMath>
      </m:oMathPara>
    </w:p>
    <w:p>
      <w:pPr>
        <w:pStyle w:val="FirstParagraph"/>
      </w:pPr>
      <w:r>
        <w:t xml:space="preserve">并维护阈值表：</w:t>
      </w:r>
    </w:p>
    <w:p>
      <w:pPr>
        <w:pStyle w:val="a9"/>
      </w:pPr>
      <m:oMathPara>
        <m:oMathParaPr>
          <m:jc m:val="center"/>
        </m:oMathParaPr>
        <m:oMath>
          <m:sSub>
            <m:e>
              <m:r>
                <m:t>τ</m:t>
              </m:r>
            </m:e>
            <m:sub>
              <m:r>
                <m:t>u</m:t>
              </m:r>
              <m:r>
                <m:t>n</m:t>
              </m:r>
              <m:r>
                <m:t>k</m:t>
              </m:r>
              <m:r>
                <m:t>n</m:t>
              </m:r>
              <m:r>
                <m:t>o</m:t>
              </m:r>
              <m:r>
                <m:t>w</m:t>
              </m:r>
              <m:r>
                <m:t>n</m:t>
              </m:r>
            </m:sub>
          </m:sSub>
          <m:r>
            <m:t>(</m:t>
          </m:r>
          <m:r>
            <m:t>s</m:t>
          </m:r>
          <m:r>
            <m:t>)</m:t>
          </m:r>
          <m:r>
            <m:t>,</m:t>
          </m:r>
          <m:r>
            <m:t> </m:t>
          </m:r>
          <m:sSub>
            <m:e>
              <m:r>
                <m:t>τ</m:t>
              </m:r>
            </m:e>
            <m:sub>
              <m:r>
                <m:t>r</m:t>
              </m:r>
              <m:r>
                <m:t>e</m:t>
              </m:r>
              <m:r>
                <m:t>v</m:t>
              </m:r>
              <m:r>
                <m:t>i</m:t>
              </m:r>
              <m:r>
                <m:t>e</m:t>
              </m:r>
              <m:r>
                <m:t>w</m:t>
              </m:r>
            </m:sub>
          </m:sSub>
          <m:r>
            <m:t>(</m:t>
          </m:r>
          <m:r>
            <m:t>s</m:t>
          </m:r>
          <m:r>
            <m:t>)</m:t>
          </m:r>
        </m:oMath>
      </m:oMathPara>
    </w:p>
    <w:p>
      <w:pPr>
        <w:pStyle w:val="FirstParagraph"/>
      </w:pPr>
      <w:r>
        <w:t xml:space="preserve">当</w:t>
      </w:r>
      <w:r>
        <w:t xml:space="preserve"> </w:t>
      </w:r>
      <m:oMath>
        <m:sSub>
          <m:e>
            <m:r>
              <m:t>S</m:t>
            </m:r>
          </m:e>
          <m:sub>
            <m:r>
              <m:t>u</m:t>
            </m:r>
            <m:r>
              <m:t>n</m:t>
            </m:r>
            <m:r>
              <m:t>k</m:t>
            </m:r>
            <m:r>
              <m:t>n</m:t>
            </m:r>
            <m:r>
              <m:t>o</m:t>
            </m:r>
            <m:r>
              <m:t>w</m:t>
            </m:r>
            <m:r>
              <m:t>n</m:t>
            </m:r>
          </m:sub>
        </m:sSub>
        <m:r>
          <m:t>≥</m:t>
        </m:r>
        <m:sSub>
          <m:e>
            <m:r>
              <m:t>τ</m:t>
            </m:r>
          </m:e>
          <m:sub>
            <m:r>
              <m:t>u</m:t>
            </m:r>
            <m:r>
              <m:t>n</m:t>
            </m:r>
            <m:r>
              <m:t>k</m:t>
            </m:r>
            <m:r>
              <m:t>n</m:t>
            </m:r>
            <m:r>
              <m:t>o</m:t>
            </m:r>
            <m:r>
              <m:t>w</m:t>
            </m:r>
            <m:r>
              <m:t>n</m:t>
            </m:r>
          </m:sub>
        </m:sSub>
        <m:r>
          <m:t>(</m:t>
        </m:r>
        <m:r>
          <m:t>s</m:t>
        </m:r>
        <m:r>
          <m:t>)</m:t>
        </m:r>
      </m:oMath>
      <w:r>
        <w:t xml:space="preserve"> </w:t>
      </w:r>
      <w:r>
        <w:t xml:space="preserve">且恶意风险分数</w:t>
      </w:r>
      <w:r>
        <w:t xml:space="preserve"> </w:t>
      </w:r>
      <m:oMath>
        <m:sSub>
          <m:e>
            <m:r>
              <m:t>S</m:t>
            </m:r>
          </m:e>
          <m:sub>
            <m:r>
              <m:t>m</m:t>
            </m:r>
            <m:r>
              <m:t>a</m:t>
            </m:r>
            <m:r>
              <m:t>l</m:t>
            </m:r>
            <m:r>
              <m:t>i</m:t>
            </m:r>
            <m:r>
              <m:t>c</m:t>
            </m:r>
            <m:r>
              <m:t>i</m:t>
            </m:r>
            <m:r>
              <m:t>o</m:t>
            </m:r>
            <m:r>
              <m:t>u</m:t>
            </m:r>
            <m:r>
              <m:t>s</m:t>
            </m:r>
          </m:sub>
        </m:sSub>
        <m:r>
          <m:t>≥</m:t>
        </m:r>
        <m:sSub>
          <m:e>
            <m:r>
              <m:t>τ</m:t>
            </m:r>
          </m:e>
          <m:sub>
            <m:r>
              <m:t>m</m:t>
            </m:r>
            <m:r>
              <m:t>a</m:t>
            </m:r>
            <m:r>
              <m:t>l</m:t>
            </m:r>
          </m:sub>
        </m:sSub>
        <m:r>
          <m:t>(</m:t>
        </m:r>
        <m:r>
          <m:t>s</m:t>
        </m:r>
        <m:r>
          <m:t>)</m:t>
        </m:r>
      </m:oMath>
      <w:r>
        <w:t xml:space="preserve"> </w:t>
      </w:r>
      <w:r>
        <w:t xml:space="preserve">时，系统输出未知恶意候选；当</w:t>
      </w:r>
      <w:r>
        <w:t xml:space="preserve"> </w:t>
      </w:r>
      <m:oMath>
        <m:sSub>
          <m:e>
            <m:r>
              <m:t>S</m:t>
            </m:r>
          </m:e>
          <m:sub>
            <m:r>
              <m:t>u</m:t>
            </m:r>
            <m:r>
              <m:t>n</m:t>
            </m:r>
            <m:r>
              <m:t>k</m:t>
            </m:r>
            <m:r>
              <m:t>n</m:t>
            </m:r>
            <m:r>
              <m:t>o</m:t>
            </m:r>
            <m:r>
              <m:t>w</m:t>
            </m:r>
            <m:r>
              <m:t>n</m:t>
            </m:r>
          </m:sub>
        </m:sSub>
        <m:r>
          <m:t>≥</m:t>
        </m:r>
        <m:sSub>
          <m:e>
            <m:r>
              <m:t>τ</m:t>
            </m:r>
          </m:e>
          <m:sub>
            <m:r>
              <m:t>r</m:t>
            </m:r>
            <m:r>
              <m:t>e</m:t>
            </m:r>
            <m:r>
              <m:t>v</m:t>
            </m:r>
            <m:r>
              <m:t>i</m:t>
            </m:r>
            <m:r>
              <m:t>e</m:t>
            </m:r>
            <m:r>
              <m:t>w</m:t>
            </m:r>
          </m:sub>
        </m:sSub>
        <m:r>
          <m:t>(</m:t>
        </m:r>
        <m:r>
          <m:t>s</m:t>
        </m:r>
        <m:r>
          <m:t>)</m:t>
        </m:r>
      </m:oMath>
      <w:r>
        <w:t xml:space="preserve"> </w:t>
      </w:r>
      <w:r>
        <w:t xml:space="preserve">但恶意风险分数不足以确认时，系统输出待确认样本；当</w:t>
      </w:r>
      <w:r>
        <w:t xml:space="preserve"> </w:t>
      </w:r>
      <m:oMath>
        <m:sSub>
          <m:e>
            <m:r>
              <m:t>S</m:t>
            </m:r>
          </m:e>
          <m:sub>
            <m:r>
              <m:t>u</m:t>
            </m:r>
            <m:r>
              <m:t>n</m:t>
            </m:r>
            <m:r>
              <m:t>k</m:t>
            </m:r>
            <m:r>
              <m:t>n</m:t>
            </m:r>
            <m:r>
              <m:t>o</m:t>
            </m:r>
            <m:r>
              <m:t>w</m:t>
            </m:r>
            <m:r>
              <m:t>n</m:t>
            </m:r>
          </m:sub>
        </m:sSub>
        <m:r>
          <m:t>&lt;</m:t>
        </m:r>
        <m:sSub>
          <m:e>
            <m:r>
              <m:t>τ</m:t>
            </m:r>
          </m:e>
          <m:sub>
            <m:r>
              <m:t>r</m:t>
            </m:r>
            <m:r>
              <m:t>e</m:t>
            </m:r>
            <m:r>
              <m:t>v</m:t>
            </m:r>
            <m:r>
              <m:t>i</m:t>
            </m:r>
            <m:r>
              <m:t>e</m:t>
            </m:r>
            <m:r>
              <m:t>w</m:t>
            </m:r>
          </m:sub>
        </m:sSub>
        <m:r>
          <m:t>(</m:t>
        </m:r>
        <m:r>
          <m:t>s</m:t>
        </m:r>
        <m:r>
          <m:t>)</m:t>
        </m:r>
      </m:oMath>
      <w:r>
        <w:t xml:space="preserve"> </w:t>
      </w:r>
      <w:r>
        <w:t xml:space="preserve">时，系统输出最大融合 belief 对应的已知类别，并进一步将其归入已知正常或已知恶意。</w:t>
      </w:r>
    </w:p>
    <w:p>
      <w:pPr>
        <w:pStyle w:val="a9"/>
      </w:pPr>
      <w:r>
        <w:t xml:space="preserve">采用两级判定逻辑的原因在于，真实网络中 unknown 不必然等于 malicious。正常新业务、新客户端库、新协议版本和合法业务迁移同样可能导致未知风险升高。系统先判断未知程度，再结合恶意风险判断是否进入未知恶意候选池，可以有效降低把正常新业务误报为高危攻击的概率。</w:t>
      </w:r>
    </w:p>
    <w:p>
      <w:pPr>
        <w:pStyle w:val="a9"/>
      </w:pPr>
      <w:r>
        <w:t xml:space="preserve">8、证据包输出模块</w:t>
      </w:r>
    </w:p>
    <w:p>
      <w:pPr>
        <w:pStyle w:val="a9"/>
      </w:pPr>
      <w:r>
        <w:t xml:space="preserve">证据包输出模块用于将模型判断转化为可复核、可审计、可处置的结构化对象。证据包至少包括如下字段：</w:t>
      </w:r>
    </w:p>
    <w:p>
      <w:pPr>
        <w:pStyle w:val="a9"/>
      </w:pPr>
      <w:r>
        <w:t xml:space="preserve">（1）流量对象标识、时间窗口、五元组、协议类型、资产组、采集位置和会话长度；</w:t>
      </w:r>
    </w:p>
    <w:p>
      <w:pPr>
        <w:pStyle w:val="a9"/>
      </w:pPr>
      <w:r>
        <w:t xml:space="preserve">（2）各模态特征摘要、模态质量指标、模态 belief、模态不确定性、模态可靠度和折扣系数；</w:t>
      </w:r>
    </w:p>
    <w:p>
      <w:pPr>
        <w:pStyle w:val="a9"/>
      </w:pPr>
      <w:r>
        <w:t xml:space="preserve">（3）模态冲突矩阵、全局冲突度、最高冲突模态对和冲突解释；</w:t>
      </w:r>
    </w:p>
    <w:p>
      <w:pPr>
        <w:pStyle w:val="a9"/>
      </w:pPr>
      <w:r>
        <w:t xml:space="preserve">（4）融合类别 belief、融合不确定性、最大已知类信念和已知类别预测；</w:t>
      </w:r>
    </w:p>
    <w:p>
      <w:pPr>
        <w:pStyle w:val="a9"/>
      </w:pPr>
      <w:r>
        <w:t xml:space="preserve">（5）开放集未知风险、恶意风险、阈值命中原因和风险分量贡献；</w:t>
      </w:r>
    </w:p>
    <w:p>
      <w:pPr>
        <w:pStyle w:val="a9"/>
      </w:pPr>
      <w:r>
        <w:t xml:space="preserve">（6）最近已知类原型、原型距离、相似历史样本、相似未知候选簇和关联告警；</w:t>
      </w:r>
    </w:p>
    <w:p>
      <w:pPr>
        <w:pStyle w:val="a9"/>
      </w:pPr>
      <w:r>
        <w:t xml:space="preserve">（7）可见协议字段摘要、包长方向序列摘要、图关系摘要和相似样本信息；</w:t>
      </w:r>
    </w:p>
    <w:p>
      <w:pPr>
        <w:pStyle w:val="a9"/>
      </w:pPr>
      <w:r>
        <w:t xml:space="preserve">（8）建议动作，包括放行、观察、限速、阻断、待确认、规则沉淀或新类标注。</w:t>
      </w:r>
    </w:p>
    <w:p>
      <w:pPr>
        <w:pStyle w:val="a9"/>
      </w:pPr>
      <w:r>
        <w:t xml:space="preserve">该证据包可用于检测平台展示、告警解释、审计留痕、规则生成、样本确认、模型回放和后续训练数据管理。</w:t>
      </w:r>
    </w:p>
    <w:p>
      <w:pPr>
        <w:pStyle w:val="a9"/>
      </w:pPr>
      <w:r>
        <w:t xml:space="preserve">9、未知候选池与参数更新模块</w:t>
      </w:r>
    </w:p>
    <w:p>
      <w:pPr>
        <w:pStyle w:val="a9"/>
      </w:pPr>
      <w:r>
        <w:t xml:space="preserve">未知候选池与参数更新模块用于保存未知恶意候选、待确认样本、相似未知簇和确认状态。系统将进入未知候选池的样本按融合表示、风险分量、时间窗口、资产组、协议类型和相似证据包进行聚类。每个未知候选簇记录簇中心、代表样本、样本数量、平均未知风险、主要冲突模态、相似历史样本、确认状态和更新状态。</w:t>
      </w:r>
    </w:p>
    <w:p>
      <w:pPr>
        <w:pStyle w:val="a9"/>
      </w:pPr>
      <w:r>
        <w:t xml:space="preserve">反馈来源为经过确认的样本标签、候选簇标签和规则确认结果。为了防止噪声标签和数据投毒，系统采用隔离缓冲和可信度门限策略。未确认样本只进入隔离缓冲池，不直接参与模型训练或阈值更新；只有当样本标签达到预设可信度条件后，才允许更新原型、阈值、未知候选簇或模态可靠度统计。</w:t>
      </w:r>
    </w:p>
    <w:p>
      <w:pPr>
        <w:pStyle w:val="a9"/>
      </w:pPr>
      <w:r>
        <w:t xml:space="preserve">对于确认为已知类别的样本，系统可使用指数滑动平均更新对应类别原型：</w:t>
      </w:r>
    </w:p>
    <w:p>
      <w:pPr>
        <w:pStyle w:val="a9"/>
      </w:pPr>
      <m:oMathPara>
        <m:oMathParaPr>
          <m:jc m:val="center"/>
        </m:oMathParaPr>
        <m:oMath>
          <m:sSub>
            <m:e>
              <m:r>
                <m:t>p</m:t>
              </m:r>
            </m:e>
            <m:sub>
              <m:r>
                <m:t>y</m:t>
              </m:r>
            </m:sub>
          </m:sSub>
          <m:r>
            <m:t>←</m:t>
          </m:r>
          <m:r>
            <m:t>n</m:t>
          </m:r>
          <m:r>
            <m:t>o</m:t>
          </m:r>
          <m:r>
            <m:t>r</m:t>
          </m:r>
          <m:r>
            <m:t>m</m:t>
          </m:r>
          <m:r>
            <m:t>a</m:t>
          </m:r>
          <m:r>
            <m:t>l</m:t>
          </m:r>
          <m:r>
            <m:t>i</m:t>
          </m:r>
          <m:r>
            <m:t>z</m:t>
          </m:r>
          <m:r>
            <m:t>e</m:t>
          </m:r>
          <m:r>
            <m:t>(</m:t>
          </m:r>
          <m:r>
            <m:t>(</m:t>
          </m:r>
          <m:r>
            <m:t>1</m:t>
          </m:r>
          <m:r>
            <m:t>−</m:t>
          </m:r>
          <m:r>
            <m:t>β</m:t>
          </m:r>
          <m:r>
            <m:t>)</m:t>
          </m:r>
          <m:sSub>
            <m:e>
              <m:r>
                <m:t>p</m:t>
              </m:r>
            </m:e>
            <m:sub>
              <m:r>
                <m:t>y</m:t>
              </m:r>
            </m:sub>
          </m:sSub>
          <m:r>
            <m:t>+</m:t>
          </m:r>
          <m:r>
            <m:t>β</m:t>
          </m:r>
          <m:sSub>
            <m:e>
              <m:r>
                <m:t>h</m:t>
              </m:r>
            </m:e>
            <m:sub>
              <m:r>
                <m:t>f</m:t>
              </m:r>
            </m:sub>
          </m:sSub>
          <m:r>
            <m:t>)</m:t>
          </m:r>
        </m:oMath>
      </m:oMathPara>
    </w:p>
    <w:p>
      <w:pPr>
        <w:pStyle w:val="FirstParagraph"/>
      </w:pPr>
      <w:r>
        <w:t xml:space="preserve">其中，</w:t>
      </w:r>
      <m:oMath>
        <m:sSub>
          <m:e>
            <m:r>
              <m:t>p</m:t>
            </m:r>
          </m:e>
          <m:sub>
            <m:r>
              <m:t>y</m:t>
            </m:r>
          </m:sub>
        </m:sSub>
      </m:oMath>
      <w:r>
        <w:t xml:space="preserve"> </w:t>
      </w:r>
      <w:r>
        <w:t xml:space="preserve">表示类别</w:t>
      </w:r>
      <w:r>
        <w:t xml:space="preserve"> </w:t>
      </w:r>
      <m:oMath>
        <m:r>
          <m:t>y</m:t>
        </m:r>
      </m:oMath>
      <w:r>
        <w:t xml:space="preserve"> </w:t>
      </w:r>
      <w:r>
        <w:t xml:space="preserve">的原型，</w:t>
      </w:r>
      <m:oMath>
        <m:sSub>
          <m:e>
            <m:r>
              <m:t>h</m:t>
            </m:r>
          </m:e>
          <m:sub>
            <m:r>
              <m:t>f</m:t>
            </m:r>
          </m:sub>
        </m:sSub>
      </m:oMath>
      <w:r>
        <w:t xml:space="preserve"> </w:t>
      </w:r>
      <w:r>
        <w:t xml:space="preserve">表示确认样本的融合表示，</w:t>
      </w:r>
      <m:oMath>
        <m:r>
          <m:t>β</m:t>
        </m:r>
      </m:oMath>
      <w:r>
        <w:t xml:space="preserve"> </w:t>
      </w:r>
      <w:r>
        <w:t xml:space="preserve">表示更新系数。对于确认为新恶意家族的样本，系统更新未知候选簇，并在满足样本数量、簇纯度和标签可信度条件后生成新类候选。对于确认为正常新业务的样本，系统更新场景阈值或正常业务特征，并降低相似样本的后续告警级别。</w:t>
      </w:r>
    </w:p>
    <w:p>
      <w:pPr>
        <w:pStyle w:val="a9"/>
      </w:pPr>
      <w:r>
        <w:t xml:space="preserve">10、训练与校准模块</w:t>
      </w:r>
    </w:p>
    <w:p>
      <w:pPr>
        <w:pStyle w:val="a9"/>
      </w:pPr>
      <w:r>
        <w:t xml:space="preserve">训练与校准模块用于生成初始模型、校准开放集阈值和维护运行参数。在一种实施方式中，训练过程包括如下阶段：</w:t>
      </w:r>
    </w:p>
    <w:p>
      <w:pPr>
        <w:pStyle w:val="a9"/>
      </w:pPr>
      <w:r>
        <w:t xml:space="preserve">第一阶段，使用未标注或弱标注加密流量进行自监督预训练。预训练任务可以包括包序列掩码重建、协议字段预测、流量片段对比学习、跨模态对比学习、图邻域预测和时间窗口上下文预测。该阶段用于获得稳定流量表示，减少对人工标签的依赖。</w:t>
      </w:r>
    </w:p>
    <w:p>
      <w:pPr>
        <w:pStyle w:val="a9"/>
      </w:pPr>
      <w:r>
        <w:t xml:space="preserve">第二阶段，使用已知正常和已知恶意样本训练各模态证据头，使正确类别具有较高证据，错误类别和困难样本具有较高不确定性。训练目标可以包括分类损失、证据正则损失和校准损失。</w:t>
      </w:r>
    </w:p>
    <w:p>
      <w:pPr>
        <w:pStyle w:val="a9"/>
      </w:pPr>
      <w:r>
        <w:t xml:space="preserve">第三阶段，使用类别原型约束、中心损失或对比损失拉近同类样本表示，拉远不同类样本表示。该阶段用于提高原型距离在开放集拒识中的可用性。</w:t>
      </w:r>
    </w:p>
    <w:p>
      <w:pPr>
        <w:pStyle w:val="a9"/>
      </w:pPr>
      <w:r>
        <w:t xml:space="preserve">第四阶段，使用攻击族留出、协议留出、跨数据集样本或未知暴露样本构造伪 unknown，用于校准 unknown 风险函数和阈值。该阶段不要求所有未知类型真实存在，只需帮助模型学习已知边界之外的风险空间。</w:t>
      </w:r>
    </w:p>
    <w:p>
      <w:pPr>
        <w:pStyle w:val="a9"/>
      </w:pPr>
      <w:r>
        <w:t xml:space="preserve">第五阶段，使用模态缺失、字段遮蔽、序列截断、图邻居扰动、字节摘要扰动和采样抖动进行鲁棒增强训练，使系统在模态缺失和模态污染下仍能输出合理不确定性与冲突信号。</w:t>
      </w:r>
    </w:p>
    <w:p>
      <w:pPr>
        <w:pStyle w:val="a9"/>
      </w:pPr>
      <w:r>
        <w:t xml:space="preserve">本发明的总训练损失可以包括：</w:t>
      </w:r>
    </w:p>
    <w:p>
      <w:pPr>
        <w:pStyle w:val="a9"/>
      </w:pPr>
      <m:oMathPara>
        <m:oMathParaPr>
          <m:jc m:val="center"/>
        </m:oMathParaPr>
        <m:oMath>
          <m:r>
            <m:t>L</m:t>
          </m:r>
          <m:r>
            <m:t>=</m:t>
          </m:r>
          <m:sSub>
            <m:e>
              <m:r>
                <m:t>L</m:t>
              </m:r>
            </m:e>
            <m:sub>
              <m:r>
                <m:t>c</m:t>
              </m:r>
              <m:r>
                <m:t>l</m:t>
              </m:r>
              <m:r>
                <m:t>s</m:t>
              </m:r>
            </m:sub>
          </m:sSub>
          <m:r>
            <m:t>+</m:t>
          </m:r>
          <m:sSub>
            <m:e>
              <m:r>
                <m:t>λ</m:t>
              </m:r>
            </m:e>
            <m:sub>
              <m:r>
                <m:t>1</m:t>
              </m:r>
            </m:sub>
          </m:sSub>
          <m:sSub>
            <m:e>
              <m:r>
                <m:t>L</m:t>
              </m:r>
            </m:e>
            <m:sub>
              <m:r>
                <m:t>e</m:t>
              </m:r>
              <m:r>
                <m:t>v</m:t>
              </m:r>
              <m:r>
                <m:t>i</m:t>
              </m:r>
            </m:sub>
          </m:sSub>
          <m:r>
            <m:t>+</m:t>
          </m:r>
          <m:sSub>
            <m:e>
              <m:r>
                <m:t>λ</m:t>
              </m:r>
            </m:e>
            <m:sub>
              <m:r>
                <m:t>2</m:t>
              </m:r>
            </m:sub>
          </m:sSub>
          <m:sSub>
            <m:e>
              <m:r>
                <m:t>L</m:t>
              </m:r>
            </m:e>
            <m:sub>
              <m:r>
                <m:t>p</m:t>
              </m:r>
              <m:r>
                <m:t>r</m:t>
              </m:r>
              <m:r>
                <m:t>o</m:t>
              </m:r>
              <m:r>
                <m:t>t</m:t>
              </m:r>
              <m:r>
                <m:t>o</m:t>
              </m:r>
            </m:sub>
          </m:sSub>
          <m:r>
            <m:t>+</m:t>
          </m:r>
          <m:sSub>
            <m:e>
              <m:r>
                <m:t>λ</m:t>
              </m:r>
            </m:e>
            <m:sub>
              <m:r>
                <m:t>3</m:t>
              </m:r>
            </m:sub>
          </m:sSub>
          <m:sSub>
            <m:e>
              <m:r>
                <m:t>L</m:t>
              </m:r>
            </m:e>
            <m:sub>
              <m:r>
                <m:t>c</m:t>
              </m:r>
              <m:r>
                <m:t>a</m:t>
              </m:r>
              <m:r>
                <m:t>l</m:t>
              </m:r>
            </m:sub>
          </m:sSub>
          <m:r>
            <m:t>+</m:t>
          </m:r>
          <m:sSub>
            <m:e>
              <m:r>
                <m:t>λ</m:t>
              </m:r>
            </m:e>
            <m:sub>
              <m:r>
                <m:t>4</m:t>
              </m:r>
            </m:sub>
          </m:sSub>
          <m:sSub>
            <m:e>
              <m:r>
                <m:t>L</m:t>
              </m:r>
            </m:e>
            <m:sub>
              <m:r>
                <m:t>c</m:t>
              </m:r>
              <m:r>
                <m:t>o</m:t>
              </m:r>
              <m:r>
                <m:t>n</m:t>
              </m:r>
              <m:r>
                <m:t>f</m:t>
              </m:r>
              <m:r>
                <m:t>l</m:t>
              </m:r>
              <m:r>
                <m:t>i</m:t>
              </m:r>
              <m:r>
                <m:t>c</m:t>
              </m:r>
              <m:r>
                <m:t>t</m:t>
              </m:r>
            </m:sub>
          </m:sSub>
          <m:r>
            <m:t>+</m:t>
          </m:r>
          <m:sSub>
            <m:e>
              <m:r>
                <m:t>λ</m:t>
              </m:r>
            </m:e>
            <m:sub>
              <m:r>
                <m:t>5</m:t>
              </m:r>
            </m:sub>
          </m:sSub>
          <m:sSub>
            <m:e>
              <m:r>
                <m:t>L</m:t>
              </m:r>
            </m:e>
            <m:sub>
              <m:r>
                <m:t>o</m:t>
              </m:r>
              <m:r>
                <m:t>p</m:t>
              </m:r>
              <m:r>
                <m:t>e</m:t>
              </m:r>
              <m:r>
                <m:t>n</m:t>
              </m:r>
            </m:sub>
          </m:sSub>
        </m:oMath>
      </m:oMathPara>
    </w:p>
    <w:p>
      <w:pPr>
        <w:pStyle w:val="FirstParagraph"/>
      </w:pPr>
      <w:r>
        <w:t xml:space="preserve">其中，</w:t>
      </w:r>
      <m:oMath>
        <m:sSub>
          <m:e>
            <m:r>
              <m:t>L</m:t>
            </m:r>
          </m:e>
          <m:sub>
            <m:r>
              <m:t>c</m:t>
            </m:r>
            <m:r>
              <m:t>l</m:t>
            </m:r>
            <m:r>
              <m:t>s</m:t>
            </m:r>
          </m:sub>
        </m:sSub>
      </m:oMath>
      <w:r>
        <w:t xml:space="preserve"> </w:t>
      </w:r>
      <w:r>
        <w:t xml:space="preserve">表示已知类分类损失，</w:t>
      </w:r>
      <m:oMath>
        <m:sSub>
          <m:e>
            <m:r>
              <m:t>L</m:t>
            </m:r>
          </m:e>
          <m:sub>
            <m:r>
              <m:t>e</m:t>
            </m:r>
            <m:r>
              <m:t>v</m:t>
            </m:r>
            <m:r>
              <m:t>i</m:t>
            </m:r>
          </m:sub>
        </m:sSub>
      </m:oMath>
      <w:r>
        <w:t xml:space="preserve"> </w:t>
      </w:r>
      <w:r>
        <w:t xml:space="preserve">表示证据正则损失，</w:t>
      </w:r>
      <m:oMath>
        <m:sSub>
          <m:e>
            <m:r>
              <m:t>L</m:t>
            </m:r>
          </m:e>
          <m:sub>
            <m:r>
              <m:t>p</m:t>
            </m:r>
            <m:r>
              <m:t>r</m:t>
            </m:r>
            <m:r>
              <m:t>o</m:t>
            </m:r>
            <m:r>
              <m:t>t</m:t>
            </m:r>
            <m:r>
              <m:t>o</m:t>
            </m:r>
          </m:sub>
        </m:sSub>
      </m:oMath>
      <w:r>
        <w:t xml:space="preserve"> </w:t>
      </w:r>
      <w:r>
        <w:t xml:space="preserve">表示原型约束损失，</w:t>
      </w:r>
      <m:oMath>
        <m:sSub>
          <m:e>
            <m:r>
              <m:t>L</m:t>
            </m:r>
          </m:e>
          <m:sub>
            <m:r>
              <m:t>c</m:t>
            </m:r>
            <m:r>
              <m:t>a</m:t>
            </m:r>
            <m:r>
              <m:t>l</m:t>
            </m:r>
          </m:sub>
        </m:sSub>
      </m:oMath>
      <w:r>
        <w:t xml:space="preserve"> </w:t>
      </w:r>
      <w:r>
        <w:t xml:space="preserve">表示校准损失，</w:t>
      </w:r>
      <m:oMath>
        <m:sSub>
          <m:e>
            <m:r>
              <m:t>L</m:t>
            </m:r>
          </m:e>
          <m:sub>
            <m:r>
              <m:t>c</m:t>
            </m:r>
            <m:r>
              <m:t>o</m:t>
            </m:r>
            <m:r>
              <m:t>n</m:t>
            </m:r>
            <m:r>
              <m:t>f</m:t>
            </m:r>
            <m:r>
              <m:t>l</m:t>
            </m:r>
            <m:r>
              <m:t>i</m:t>
            </m:r>
            <m:r>
              <m:t>c</m:t>
            </m:r>
            <m:r>
              <m:t>t</m:t>
            </m:r>
          </m:sub>
        </m:sSub>
      </m:oMath>
      <w:r>
        <w:t xml:space="preserve"> </w:t>
      </w:r>
      <w:r>
        <w:t xml:space="preserve">表示冲突一致性损失，</w:t>
      </w:r>
      <m:oMath>
        <m:sSub>
          <m:e>
            <m:r>
              <m:t>L</m:t>
            </m:r>
          </m:e>
          <m:sub>
            <m:r>
              <m:t>o</m:t>
            </m:r>
            <m:r>
              <m:t>p</m:t>
            </m:r>
            <m:r>
              <m:t>e</m:t>
            </m:r>
            <m:r>
              <m:t>n</m:t>
            </m:r>
          </m:sub>
        </m:sSub>
      </m:oMath>
      <w:r>
        <w:t xml:space="preserve"> </w:t>
      </w:r>
      <w:r>
        <w:t xml:space="preserve">表示开放集边界损失。上述训练目标仅为示例，并不限定本发明的保护范围。</w:t>
      </w:r>
    </w:p>
    <w:p>
      <w:pPr>
        <w:pStyle w:val="a9"/>
      </w:pPr>
      <w:r>
        <w:t xml:space="preserve">本发明如图2、图3和图4所示，具体有益效果为：</w:t>
      </w:r>
    </w:p>
    <w:p>
      <w:pPr>
        <w:pStyle w:val="a9"/>
      </w:pPr>
      <w:r>
        <w:t xml:space="preserve">本发明通过每个模态分别输出类别证据、不确定性和可靠度，避免了普通多模态融合中“一次性拼接后黑箱分类”的问题，使系统能够说明哪个模态支持当前判断、哪个模态证据不足以及哪个模态可能被污染。</w:t>
      </w:r>
    </w:p>
    <w:p>
      <w:pPr>
        <w:pStyle w:val="a9"/>
      </w:pPr>
      <w:r>
        <w:t xml:space="preserve">本发明显式计算模态间冲突矩阵，并将冲突作为开放集未知风险的重要组成部分，而不是简单当作噪声消除。对于协议模态显示正常但包序列和关系图均显示异常的样本，系统能够提升未知风险并进入待确认流程，降低未知攻击被高置信归入已知类别的概率。</w:t>
      </w:r>
    </w:p>
    <w:p>
      <w:pPr>
        <w:pStyle w:val="a9"/>
      </w:pPr>
      <w:r>
        <w:t xml:space="preserve">本发明通过自适应折扣融合机制，根据模态可靠度和冲突程度对证据进行降权或保守融合，在低冲突场景下充分利用多模态证据，在高冲突场景下避免强制融合形成虚假的确定性结论。</w:t>
      </w:r>
    </w:p>
    <w:p>
      <w:pPr>
        <w:pStyle w:val="a9"/>
      </w:pPr>
      <w:r>
        <w:t xml:space="preserve">本发明通过开放集未知风险函数联合考虑融合不确定性、全局冲突、原型距离、能量分数、最大已知类信念和场景偏离量，相比单一 softmax、能量分数或原型距离方法具有更强的稳定性和解释性。</w:t>
      </w:r>
    </w:p>
    <w:p>
      <w:pPr>
        <w:pStyle w:val="a9"/>
      </w:pPr>
      <w:r>
        <w:t xml:space="preserve">本发明通过未知候选池、证据包输出和参数反馈更新机制，将 unknown 结果转化为可确认、可聚类、可沉淀和可持续学习的对象，支持检测系统中的样本确认、规则生成和参数更新。</w:t>
      </w:r>
    </w:p>
    <w:p>
      <w:pPr>
        <w:pStyle w:val="a9"/>
      </w:pPr>
      <w:r>
        <w:t xml:space="preserve">本发明通过轻量初筛路径和深度分析路径相结合，能够在高带宽网络中优先使用流统计、短序列和可见协议字段完成快速筛查，对高风险或高冲突样本再触发字节摘要、时频特征和关系图深分析，从而兼顾吞吐、延迟和检测效果。</w:t>
      </w:r>
    </w:p>
    <w:p>
      <w:pPr>
        <w:pStyle w:val="a9"/>
      </w:pPr>
      <w:r>
        <w:rPr>
          <w:b/>
        </w:rPr>
        <w:t xml:space="preserve">附图说明</w:t>
      </w:r>
    </w:p>
    <w:p>
      <w:pPr>
        <w:pStyle w:val="a9"/>
      </w:pPr>
      <w:r>
        <w:t xml:space="preserve">构成本申请的一部分的说明书附图用来提供对本申请的进一步理解，本申请的示意性实施例及其说明用于解释本申请，并不构成对本申请的不当限定。</w:t>
      </w:r>
    </w:p>
    <w:p>
      <w:pPr>
        <w:pStyle w:val="a9"/>
      </w:pPr>
      <w:r>
        <w:t xml:space="preserve">图一为本发明一种证据冲突感知的可信开放集加密恶意流量检测方法及系统总体架构图；</w:t>
      </w:r>
    </w:p>
    <w:p>
      <w:pPr>
        <w:pStyle w:val="a9"/>
      </w:pPr>
      <w:r>
        <w:t xml:space="preserve">图二为本发明一种证据冲突检测与自适应折扣融合流程图；</w:t>
      </w:r>
    </w:p>
    <w:p>
      <w:pPr>
        <w:pStyle w:val="a9"/>
      </w:pPr>
      <w:r>
        <w:t xml:space="preserve">图三为本发明一种开放集未知风险判定流程图；</w:t>
      </w:r>
    </w:p>
    <w:p>
      <w:pPr>
        <w:pStyle w:val="a9"/>
      </w:pPr>
      <w:r>
        <w:t xml:space="preserve">图四为本发明一种未知候选池与反馈更新闭环图。</w:t>
      </w:r>
    </w:p>
    <w:p>
      <w:pPr>
        <w:pStyle w:val="a9"/>
      </w:pPr>
      <w:r>
        <w:rPr>
          <w:b/>
        </w:rPr>
        <w:t xml:space="preserve">具体实施方式</w:t>
      </w:r>
    </w:p>
    <w:p>
      <w:pPr>
        <w:pStyle w:val="a9"/>
      </w:pPr>
      <w:r>
        <w:t xml:space="preserve">下面结合附图和实施例，对本发明作进一步说明。应当理解，此处所描述的具体实施方式仅用于解释本发明，并不用于限定本发明。本发明未详尽之处，均可参见现有技术。</w:t>
      </w:r>
    </w:p>
    <w:p>
      <w:pPr>
        <w:pStyle w:val="Figure"/>
      </w:pPr>
      <w:r>
        <w:drawing>
          <wp:inline>
            <wp:extent cx="5760720" cy="3533241"/>
            <wp:effectExtent b="0" l="0" r="0" t="0"/>
            <wp:docPr descr="" title="" id="1" name="Picture"/>
            <a:graphic>
              <a:graphicData uri="http://schemas.openxmlformats.org/drawingml/2006/picture">
                <pic:pic>
                  <pic:nvPicPr>
                    <pic:cNvPr descr="figures/图1_系统总体架构图_imagegen.png" id="0" name="Picture"/>
                    <pic:cNvPicPr>
                      <a:picLocks noChangeArrowheads="1" noChangeAspect="1"/>
                    </pic:cNvPicPr>
                  </pic:nvPicPr>
                  <pic:blipFill>
                    <a:blip r:embed="rId21"/>
                    <a:stretch>
                      <a:fillRect/>
                    </a:stretch>
                  </pic:blipFill>
                  <pic:spPr bwMode="auto">
                    <a:xfrm>
                      <a:off x="0" y="0"/>
                      <a:ext cx="5760720" cy="3533241"/>
                    </a:xfrm>
                    <a:prstGeom prst="rect">
                      <a:avLst/>
                    </a:prstGeom>
                    <a:noFill/>
                    <a:ln w="9525">
                      <a:noFill/>
                      <a:headEnd/>
                      <a:tailEnd/>
                    </a:ln>
                  </pic:spPr>
                </pic:pic>
              </a:graphicData>
            </a:graphic>
          </wp:inline>
        </w:drawing>
      </w:r>
    </w:p>
    <w:p>
      <w:pPr>
        <w:pStyle w:val="FirstParagraph"/>
      </w:pPr>
      <w:r>
        <w:t xml:space="preserve">图1</w:t>
      </w:r>
    </w:p>
    <w:p>
      <w:pPr>
        <w:pStyle w:val="a9"/>
      </w:pPr>
      <w:r>
        <w:t xml:space="preserve">如图1所示，在一种实施方式中，系统部署在园区网络出口旁路探针和 SOC 平台之间。旁路探针采集加密报文和流记录，对报文进行会话重组、方向标记、时间窗口切分和流级聚合，形成待检测流量对象。系统首先走轻量检测路径，提取流统计特征、短包序列特征和 TLS/QUIC 可见字段，计算轻量风险。当轻量风险低于阈值时，系统直接输出已知正常或已知恶意结果；当轻量风险较高、模态证据不足或初始冲突明显时，系统触发深分析路径，进一步提取字节摘要、时频特征和关系图特征。</w:t>
      </w:r>
    </w:p>
    <w:p>
      <w:pPr>
        <w:pStyle w:val="a9"/>
      </w:pPr>
      <w:r>
        <w:t xml:space="preserve">在模态证据生成阶段，各模态通过独立编码器和证据头生成类别 belief、不确定性和可靠度。例如，流统计模态可采用多层感知机或轻量树模型，序列模态可采用 TCN、Transformer 或轻量 CNN，协议模态可采用字段嵌入和表征网络，字节模态可采用一维卷积或预训练表征，图模态可采用 GraphSAGE、GAT 或动态图模型。系统并不限定具体编码器，只要求每个模态能够形成可用于冲突计算的证据意见。</w:t>
      </w:r>
    </w:p>
    <w:p>
      <w:pPr>
        <w:pStyle w:val="Figure"/>
      </w:pPr>
      <w:r>
        <w:drawing>
          <wp:inline>
            <wp:extent cx="5760720" cy="3456431"/>
            <wp:effectExtent b="0" l="0" r="0" t="0"/>
            <wp:docPr descr="" title="" id="1" name="Picture"/>
            <a:graphic>
              <a:graphicData uri="http://schemas.openxmlformats.org/drawingml/2006/picture">
                <pic:pic>
                  <pic:nvPicPr>
                    <pic:cNvPr descr="figures/图2_证据冲突与折扣融合图_imagegen.png" id="0" name="Picture"/>
                    <pic:cNvPicPr>
                      <a:picLocks noChangeArrowheads="1" noChangeAspect="1"/>
                    </pic:cNvPicPr>
                  </pic:nvPicPr>
                  <pic:blipFill>
                    <a:blip r:embed="rId22"/>
                    <a:stretch>
                      <a:fillRect/>
                    </a:stretch>
                  </pic:blipFill>
                  <pic:spPr bwMode="auto">
                    <a:xfrm>
                      <a:off x="0" y="0"/>
                      <a:ext cx="5760720" cy="3456431"/>
                    </a:xfrm>
                    <a:prstGeom prst="rect">
                      <a:avLst/>
                    </a:prstGeom>
                    <a:noFill/>
                    <a:ln w="9525">
                      <a:noFill/>
                      <a:headEnd/>
                      <a:tailEnd/>
                    </a:ln>
                  </pic:spPr>
                </pic:pic>
              </a:graphicData>
            </a:graphic>
          </wp:inline>
        </w:drawing>
      </w:r>
    </w:p>
    <w:p>
      <w:pPr>
        <w:pStyle w:val="FirstParagraph"/>
      </w:pPr>
      <w:r>
        <w:t xml:space="preserve">图2</w:t>
      </w:r>
    </w:p>
    <w:p>
      <w:pPr>
        <w:pStyle w:val="a9"/>
      </w:pPr>
      <w:r>
        <w:t xml:space="preserve">如图2所示，每个模态输出</w:t>
      </w:r>
      <w:r>
        <w:t xml:space="preserve"> </w:t>
      </w:r>
      <m:oMath>
        <m:sSub>
          <m:e>
            <m:r>
              <m:t>b</m:t>
            </m:r>
          </m:e>
          <m:sub>
            <m:r>
              <m:t>m</m:t>
            </m:r>
          </m:sub>
        </m:sSub>
      </m:oMath>
      <w:r>
        <w:t xml:space="preserve">、</w:t>
      </w:r>
      <m:oMath>
        <m:sSub>
          <m:e>
            <m:r>
              <m:t>u</m:t>
            </m:r>
          </m:e>
          <m:sub>
            <m:r>
              <m:t>m</m:t>
            </m:r>
          </m:sub>
        </m:sSub>
      </m:oMath>
      <w:r>
        <w:t xml:space="preserve"> </w:t>
      </w:r>
      <w:r>
        <w:t xml:space="preserve">和</w:t>
      </w:r>
      <w:r>
        <w:t xml:space="preserve"> </w:t>
      </w:r>
      <m:oMath>
        <m:sSub>
          <m:e>
            <m:r>
              <m:t>r</m:t>
            </m:r>
          </m:e>
          <m:sub>
            <m:r>
              <m:t>m</m:t>
            </m:r>
          </m:sub>
        </m:sSub>
      </m:oMath>
      <w:r>
        <w:t xml:space="preserve"> </w:t>
      </w:r>
      <w:r>
        <w:t xml:space="preserve">后，系统计算任意模态对的冲突分数，形成全局冲突</w:t>
      </w:r>
      <w:r>
        <w:t xml:space="preserve"> </w:t>
      </w:r>
      <m:oMath>
        <m:sSub>
          <m:e>
            <m:r>
              <m:t>C</m:t>
            </m:r>
          </m:e>
          <m:sub>
            <m:r>
              <m:t>g</m:t>
            </m:r>
          </m:sub>
        </m:sSub>
      </m:oMath>
      <w:r>
        <w:t xml:space="preserve"> </w:t>
      </w:r>
      <w:r>
        <w:t xml:space="preserve">和单模态冲突</w:t>
      </w:r>
      <w:r>
        <w:t xml:space="preserve"> </w:t>
      </w:r>
      <m:oMath>
        <m:sSub>
          <m:e>
            <m:r>
              <m:t>c</m:t>
            </m:r>
          </m:e>
          <m:sub>
            <m:r>
              <m:t>m</m:t>
            </m:r>
          </m:sub>
        </m:sSub>
      </m:oMath>
      <w:r>
        <w:t xml:space="preserve">。系统再根据</w:t>
      </w:r>
      <w:r>
        <w:t xml:space="preserve"> </w:t>
      </w:r>
      <m:oMath>
        <m:sSub>
          <m:e>
            <m:r>
              <m:t>r</m:t>
            </m:r>
          </m:e>
          <m:sub>
            <m:r>
              <m:t>m</m:t>
            </m:r>
          </m:sub>
        </m:sSub>
      </m:oMath>
      <w:r>
        <w:t xml:space="preserve">、</w:t>
      </w:r>
      <m:oMath>
        <m:sSub>
          <m:e>
            <m:r>
              <m:t>u</m:t>
            </m:r>
          </m:e>
          <m:sub>
            <m:r>
              <m:t>m</m:t>
            </m:r>
          </m:sub>
        </m:sSub>
      </m:oMath>
      <w:r>
        <w:t xml:space="preserve"> </w:t>
      </w:r>
      <w:r>
        <w:t xml:space="preserve">和</w:t>
      </w:r>
      <w:r>
        <w:t xml:space="preserve"> </w:t>
      </w:r>
      <m:oMath>
        <m:sSub>
          <m:e>
            <m:r>
              <m:t>c</m:t>
            </m:r>
          </m:e>
          <m:sub>
            <m:r>
              <m:t>m</m:t>
            </m:r>
          </m:sub>
        </m:sSub>
      </m:oMath>
      <w:r>
        <w:t xml:space="preserve"> </w:t>
      </w:r>
      <w:r>
        <w:t xml:space="preserve">计算折扣系数</w:t>
      </w:r>
      <w:r>
        <w:t xml:space="preserve"> </w:t>
      </w:r>
      <m:oMath>
        <m:sSub>
          <m:e>
            <m:r>
              <m:t>γ</m:t>
            </m:r>
          </m:e>
          <m:sub>
            <m:r>
              <m:t>m</m:t>
            </m:r>
          </m:sub>
        </m:sSub>
      </m:oMath>
      <w:r>
        <w:t xml:space="preserve">。如果全局冲突较低，系统进行 DS 融合或证据加权融合；如果全局冲突处于中等水平，系统使用保守融合并提高不确定性；如果全局冲突过高，系统不强制融合，而是将该样本转入待确认或 unknown 风险判定，并在证据包中记录最高冲突模态对。</w:t>
      </w:r>
    </w:p>
    <w:p>
      <w:pPr>
        <w:pStyle w:val="a9"/>
      </w:pPr>
      <w:r>
        <w:t xml:space="preserve">举例而言，某条加密流量在协议模态上显示为常见浏览器 TLS 指纹，协议模态 belief 支持“已知正常”；但包长方向时序模态显示周期性小包外联，关系图模态显示该源主机近期访问多个低信誉域名且共享异常证书，二者 belief 支持“命令控制类恶意”。若上述两个异常模态自身不确定性低、可靠度高，则系统计算出较高冲突度，不会简单被协议模态的正常指纹压制，而是提高未知风险并进入未知候选或待确认流程。</w:t>
      </w:r>
    </w:p>
    <w:p>
      <w:pPr>
        <w:pStyle w:val="Figure"/>
      </w:pPr>
      <w:r>
        <w:drawing>
          <wp:inline>
            <wp:extent cx="5760720" cy="3456431"/>
            <wp:effectExtent b="0" l="0" r="0" t="0"/>
            <wp:docPr descr="" title="" id="1" name="Picture"/>
            <a:graphic>
              <a:graphicData uri="http://schemas.openxmlformats.org/drawingml/2006/picture">
                <pic:pic>
                  <pic:nvPicPr>
                    <pic:cNvPr descr="figures/图3_开放集风险判定图_imagegen.png" id="0" name="Picture"/>
                    <pic:cNvPicPr>
                      <a:picLocks noChangeArrowheads="1" noChangeAspect="1"/>
                    </pic:cNvPicPr>
                  </pic:nvPicPr>
                  <pic:blipFill>
                    <a:blip r:embed="rId23"/>
                    <a:stretch>
                      <a:fillRect/>
                    </a:stretch>
                  </pic:blipFill>
                  <pic:spPr bwMode="auto">
                    <a:xfrm>
                      <a:off x="0" y="0"/>
                      <a:ext cx="5760720" cy="3456431"/>
                    </a:xfrm>
                    <a:prstGeom prst="rect">
                      <a:avLst/>
                    </a:prstGeom>
                    <a:noFill/>
                    <a:ln w="9525">
                      <a:noFill/>
                      <a:headEnd/>
                      <a:tailEnd/>
                    </a:ln>
                  </pic:spPr>
                </pic:pic>
              </a:graphicData>
            </a:graphic>
          </wp:inline>
        </w:drawing>
      </w:r>
    </w:p>
    <w:p>
      <w:pPr>
        <w:pStyle w:val="FirstParagraph"/>
      </w:pPr>
      <w:r>
        <w:t xml:space="preserve">图3</w:t>
      </w:r>
    </w:p>
    <w:p>
      <w:pPr>
        <w:pStyle w:val="a9"/>
      </w:pPr>
      <w:r>
        <w:t xml:space="preserve">如图3所示，开放集风险判定模块接收融合不确定性、全局冲突、原型距离、能量分数、场景偏离和恶意风险等分量，计算</w:t>
      </w:r>
      <w:r>
        <w:t xml:space="preserve"> </w:t>
      </w:r>
      <m:oMath>
        <m:sSub>
          <m:e>
            <m:r>
              <m:t>S</m:t>
            </m:r>
          </m:e>
          <m:sub>
            <m:r>
              <m:t>u</m:t>
            </m:r>
            <m:r>
              <m:t>n</m:t>
            </m:r>
            <m:r>
              <m:t>k</m:t>
            </m:r>
            <m:r>
              <m:t>n</m:t>
            </m:r>
            <m:r>
              <m:t>o</m:t>
            </m:r>
            <m:r>
              <m:t>w</m:t>
            </m:r>
            <m:r>
              <m:t>n</m:t>
            </m:r>
          </m:sub>
        </m:sSub>
      </m:oMath>
      <w:r>
        <w:t xml:space="preserve">。系统根据场景条件化阈值进行分层判定。当</w:t>
      </w:r>
      <w:r>
        <w:t xml:space="preserve"> </w:t>
      </w:r>
      <m:oMath>
        <m:sSub>
          <m:e>
            <m:r>
              <m:t>S</m:t>
            </m:r>
          </m:e>
          <m:sub>
            <m:r>
              <m:t>u</m:t>
            </m:r>
            <m:r>
              <m:t>n</m:t>
            </m:r>
            <m:r>
              <m:t>k</m:t>
            </m:r>
            <m:r>
              <m:t>n</m:t>
            </m:r>
            <m:r>
              <m:t>o</m:t>
            </m:r>
            <m:r>
              <m:t>w</m:t>
            </m:r>
            <m:r>
              <m:t>n</m:t>
            </m:r>
          </m:sub>
        </m:sSub>
      </m:oMath>
      <w:r>
        <w:t xml:space="preserve"> </w:t>
      </w:r>
      <w:r>
        <w:t xml:space="preserve">较低时，输出已知正常或已知恶意；当</w:t>
      </w:r>
      <w:r>
        <w:t xml:space="preserve"> </w:t>
      </w:r>
      <m:oMath>
        <m:sSub>
          <m:e>
            <m:r>
              <m:t>S</m:t>
            </m:r>
          </m:e>
          <m:sub>
            <m:r>
              <m:t>u</m:t>
            </m:r>
            <m:r>
              <m:t>n</m:t>
            </m:r>
            <m:r>
              <m:t>k</m:t>
            </m:r>
            <m:r>
              <m:t>n</m:t>
            </m:r>
            <m:r>
              <m:t>o</m:t>
            </m:r>
            <m:r>
              <m:t>w</m:t>
            </m:r>
            <m:r>
              <m:t>n</m:t>
            </m:r>
          </m:sub>
        </m:sSub>
      </m:oMath>
      <w:r>
        <w:t xml:space="preserve"> </w:t>
      </w:r>
      <w:r>
        <w:t xml:space="preserve">高于确认阈值但恶意风险尚不足时，输出待确认样本；当</w:t>
      </w:r>
      <w:r>
        <w:t xml:space="preserve"> </w:t>
      </w:r>
      <m:oMath>
        <m:sSub>
          <m:e>
            <m:r>
              <m:t>S</m:t>
            </m:r>
          </m:e>
          <m:sub>
            <m:r>
              <m:t>u</m:t>
            </m:r>
            <m:r>
              <m:t>n</m:t>
            </m:r>
            <m:r>
              <m:t>k</m:t>
            </m:r>
            <m:r>
              <m:t>n</m:t>
            </m:r>
            <m:r>
              <m:t>o</m:t>
            </m:r>
            <m:r>
              <m:t>w</m:t>
            </m:r>
            <m:r>
              <m:t>n</m:t>
            </m:r>
          </m:sub>
        </m:sSub>
      </m:oMath>
      <w:r>
        <w:t xml:space="preserve"> </w:t>
      </w:r>
      <w:r>
        <w:t xml:space="preserve">高于未知阈值且恶意风险较高时，输出未知恶意候选。</w:t>
      </w:r>
    </w:p>
    <w:p>
      <w:pPr>
        <w:pStyle w:val="a9"/>
      </w:pPr>
      <w:r>
        <w:t xml:space="preserve">在一种短流场景中，某些流量只包含少量报文，包序列模态和协议模态均存在证据不足。系统不会因证据不足直接判定为未知恶意，而是提高对应模态不确定性，结合流统计和关系图判断。如果关系图和历史相似样本均无异常，系统输出低风险或待观察；如果短流同时命中稀有证书、异常目的地和相似恶意图邻域，系统才提升未知风险并进入待确认流程。该实施方式能够减少短流缺失导致的误报，同时保留对短连接恶意通信的发现能力。</w:t>
      </w:r>
    </w:p>
    <w:p>
      <w:pPr>
        <w:pStyle w:val="Figure"/>
      </w:pPr>
      <w:r>
        <w:drawing>
          <wp:inline>
            <wp:extent cx="5760720" cy="3456431"/>
            <wp:effectExtent b="0" l="0" r="0" t="0"/>
            <wp:docPr descr="" title="" id="1" name="Picture"/>
            <a:graphic>
              <a:graphicData uri="http://schemas.openxmlformats.org/drawingml/2006/picture">
                <pic:pic>
                  <pic:nvPicPr>
                    <pic:cNvPr descr="figures/图4_反馈更新闭环图_imagegen.png" id="0" name="Picture"/>
                    <pic:cNvPicPr>
                      <a:picLocks noChangeArrowheads="1" noChangeAspect="1"/>
                    </pic:cNvPicPr>
                  </pic:nvPicPr>
                  <pic:blipFill>
                    <a:blip r:embed="rId24"/>
                    <a:stretch>
                      <a:fillRect/>
                    </a:stretch>
                  </pic:blipFill>
                  <pic:spPr bwMode="auto">
                    <a:xfrm>
                      <a:off x="0" y="0"/>
                      <a:ext cx="5760720" cy="3456431"/>
                    </a:xfrm>
                    <a:prstGeom prst="rect">
                      <a:avLst/>
                    </a:prstGeom>
                    <a:noFill/>
                    <a:ln w="9525">
                      <a:noFill/>
                      <a:headEnd/>
                      <a:tailEnd/>
                    </a:ln>
                  </pic:spPr>
                </pic:pic>
              </a:graphicData>
            </a:graphic>
          </wp:inline>
        </w:drawing>
      </w:r>
    </w:p>
    <w:p>
      <w:pPr>
        <w:pStyle w:val="FirstParagraph"/>
      </w:pPr>
      <w:r>
        <w:t xml:space="preserve">图4</w:t>
      </w:r>
    </w:p>
    <w:p>
      <w:pPr>
        <w:pStyle w:val="a9"/>
      </w:pPr>
      <w:r>
        <w:t xml:space="preserve">如图4所示，未知恶意候选和待确认样本进入未知候选池。系统对候选样本进行相似样本合并和候选簇生成，并接收确认后的样本标签。若确认某一候选簇属于新的恶意家族，系统将该簇沉淀为新恶意家族候选，记录代表样本、冲突模态和相似历史样本，并在满足样本数和纯度条件后生成新类原型。若确认候选簇为正常新业务，系统降低相似样本的告警级别，更新场景阈值和正常类原型，以减少业务升级带来的重复误报。若确认样本属于已知类别，系统使用指数滑动平均更新对应类别原型，并修正相应场景下的模态可靠度统计。</w:t>
      </w:r>
    </w:p>
    <w:p>
      <w:pPr>
        <w:pStyle w:val="a9"/>
      </w:pPr>
      <w:r>
        <w:t xml:space="preserve">在另一种实施方式中，本发明部署在边云协同架构中。边缘节点负责采集、会话重组、轻量特征提取和快速筛查；中心分析节点负责图构建、深模态分析、未知候选聚类和模型校准；管理平台负责证据包展示、样本确认、处置记录和审计留痕。边缘节点只上传脱敏后的结构化证据、摘要和风险分量，不上传原始敏感载荷。该实施方式适合企业园区网、数据中心、云安全网关、运营商出口和工业控制边界。</w:t>
      </w:r>
    </w:p>
    <w:p>
      <w:pPr>
        <w:pStyle w:val="a9"/>
      </w:pPr>
      <w:r>
        <w:t xml:space="preserve">在另一种实施方式中，系统可根据不同协议和资产组维护不同阈值。例如，办公网工作时间段的浏览器 HTTPS 流量具有较高正常波动，系统可适当提高确认阈值；生产网凌晨时段的新外联流量具有较高安全敏感性，系统可降低 unknown 阈值；对于新上线业务，系统可设置观察期阈值并加强证据包输出。通过场景条件化阈值，本发明能够在未知召回、误报率和待确认量之间取得更稳定的平衡。</w:t>
      </w:r>
    </w:p>
    <w:p>
      <w:pPr>
        <w:pStyle w:val="a9"/>
      </w:pPr>
      <w:r>
        <w:t xml:space="preserve">本发明适用范围包括企业园区网、数据中心、运营商出口、云安全网关、工控边界、零信任接入、检测平台和托管安全服务平台。可替代实现包括：将 Dirichlet evidence 替换为校准 softmax、深度集成或 MC Dropout；将原型距离替换为 Mahalanobis 距离；将图神经网络替换为规则化图统计；将能量分数替换为重构误差或 conformal 风险分位数；将样本确认方式替换为离线标注或规则确认。上述替代不改变本发明“多模态证据生成、冲突感知、自适应折扣融合、开放集未知风险、证据包输出和参数反馈更新”的核心技术思想。</w:t>
      </w:r>
    </w:p>
    <w:p>
      <w:pPr>
        <w:pStyle w:val="a9"/>
      </w:pPr>
      <w:r>
        <w:rPr>
          <w:b/>
        </w:rPr>
        <w:t xml:space="preserve">附图生成提示词</w:t>
      </w:r>
    </w:p>
    <w:p>
      <w:pPr>
        <w:pStyle w:val="a9"/>
      </w:pPr>
      <w:r>
        <w:t xml:space="preserve">以下提示词用于通过 imagegen 生成符合专利交底书风格的示意图。提示词强调白底黑线、结构清晰、避免科研海报化和明显色彩化。正式提交专利前，可由代理机构或绘图人员按下述提示词重绘为统一线稿。</w:t>
      </w:r>
    </w:p>
    <w:p>
      <w:pPr>
        <w:pStyle w:val="a9"/>
      </w:pPr>
      <w:r>
        <w:t xml:space="preserve">图一提示词：生成一张中文网络安全专利交底书附图，主题为“证据冲突感知的可信开放集加密恶意流量检测方法及系统”。画面参照“一种基于少种子图像编码的IPv6地址生成方法和装置”交底书附图风格：横向 16:9，白色或浅灰背景，模块外层使用浅蓝色细边框，模块内部使用黑色虚线分组框，子步骤为浅灰填充矩形和黑色箭头，少量灰、黄、青、绿圆点仅用于表示不同模态数据，不使用科研海报式渐变、阴影、三维图标或强烈色彩。左侧为“流量预处理模块”，包含“加密流量输入”“会话重组”“方向标记”“时间窗聚合”；中部为“可信检测模块”，包含“流统计”“包序列”“协议字段”“字节摘要”“关系图”“模态证据生成”“证据冲突计算”“自适应折扣融合”“开放集风险判定”；右侧输出“已知正常/已知恶意”“未知恶意候选”“待确认样本”；下方为“反馈更新模块”，包含“未知候选池”“样本确认与标注”“阈值与原型更新”“证据包输出与审计”，并画回到检测模块的反馈箭头。所有中文标签简短、黑色、字号大、清晰可读，整体为克制、规整的中国发明专利说明书附图。</w:t>
      </w:r>
    </w:p>
    <w:p>
      <w:pPr>
        <w:pStyle w:val="a9"/>
      </w:pPr>
      <w:r>
        <w:t xml:space="preserve">图二提示词：生成一张中文专利交底书流程图，主题为“证据冲突检测与自适应折扣流程”。参照“一种基于少种子图像编码的IPv6地址生成方法和装置”附图风格：浅灰底，浅蓝外边框，黑色虚线分组框，浅灰矩形步骤框，黑色箭头，少量灰、黄、青、米色、绿圆点表示不同模态证据向量。左侧分区标题为“模态证据生成模块”，列出“流统计证据头”“包序列证据头”“协议证据头”“字节/时频证据头”“图关系证据头”，每个证据头右侧标注“b,u,r”；中部分区标题为“冲突检测模块”，依次为“两两冲突计算 Cij”“全局冲突 Cg”“单模态冲突 cm”“冲突等级判定”；右侧分区标题为“折扣融合模块”，包含“折扣系数 gamma”“低冲突：证据融合”“中冲突：保守融合”“高冲突：待确认”“融合信念与不确定性”。避免明显色彩、装饰背景、立体效果和科研海报风格。</w:t>
      </w:r>
    </w:p>
    <w:p>
      <w:pPr>
        <w:pStyle w:val="a9"/>
      </w:pPr>
      <w:r>
        <w:t xml:space="preserve">图三提示词：生成一张中文专利交底书流程图，主题为“开放集风险判定流程”。参照少种子图像编码 IPv6 专利交底书附图风格，整体为白色或浅灰背景、浅蓝细边框、黑色虚线模块容器、浅灰矩形步骤框和黑色箭头；不使用强色彩、渐变、图标、阴影或三维效果。上方分区标题为“风险分量计算模块”，顶部六个输入框分别为“融合不确定性 uf”“全局冲突 Cg”“原型距离 dproto”“能量分数 Energy”“场景偏离 OOD”“恶意风险 Smal”，箭头汇入中间“未知风险计算 Sunknown”，下方写一行简化风险加权公式。下方分区标题为“开放集判定模块”，中间为“阈值判断 τreview / τunknown”，三路输出为“已知正常/已知恶意”“待确认样本”“未知恶意候选”，分支旁标注“低风险”“中风险”“高未知且高恶意”。文字简洁、线条规整、布局留白充足。</w:t>
      </w:r>
    </w:p>
    <w:p>
      <w:pPr>
        <w:pStyle w:val="a9"/>
      </w:pPr>
      <w:r>
        <w:t xml:space="preserve">图四提示词：生成一张中文专利说明书附图风格的反馈更新闭环图。画面参照“一种基于少种子图像编码的IPv6地址生成方法和装置”交底书附图：横向 16:9，浅灰背景，浅蓝外框，黑色虚线分区框，浅灰矩形步骤框，黑色箭头，布局规整、线条克制。左侧分区为“样本确认模块”，包含“未知候选池”“候选簇生成”“相似样本合并”“样本确认”“确认标签”“模态证据生成”；右侧分区为“参数更新模块”，包含“标签类型”“新恶意家族”“正常新业务”“已知类别”“参数更新”“原型库”“阈值表”“可靠度统计”。从未知候选进入候选簇生成、相似样本合并和样本确认，合并到确认标签，再进入标签类型和参数更新；参数更新输出到原型库、阈值表、可靠度统计，并通过长反馈箭头回到模态证据生成。禁止明显色彩、阴影、图标、装饰性背景和科研论文配图风格。</w:t>
      </w:r>
    </w:p>
    <w:p>
      <w:pPr>
        <w:pStyle w:val="a9"/>
      </w:pPr>
      <w:r>
        <w:rPr>
          <w:b/>
        </w:rPr>
        <w:t xml:space="preserve">权利要求书撰写建议</w:t>
      </w:r>
    </w:p>
    <w:p>
      <w:pPr>
        <w:pStyle w:val="a9"/>
      </w:pPr>
      <w:r>
        <w:t xml:space="preserve">一种证据冲突感知的可信开放集加密恶意流量检测方法，包括：采集加密网络流量，对所述加密网络流量进行会话重组和流级聚合，得到待检测流量对象；对所述待检测流量对象提取至少两类多粒度特征，所述多粒度特征包括流统计特征、包长方向时序特征、加密协议可见字段特征、字节摘要或时频特征、关系图特征中的至少两类；将每一类多粒度特征输入对应的模态证据生成模型，得到各模态的类别证据、模态不确定性和模态可靠度；根据各模态的类别证据、模态不确定性和模态可靠度计算模态间证据冲突矩阵；根据所述模态间证据冲突矩阵和所述模态可靠度对各模态的类别证据进行折扣处理，并融合折扣后的类别证据，得到融合证据分布和融合不确定性；根据所述融合证据分布、融合不确定性、模态间证据冲突度、待检测流量对象到已知类原型的距离、分布外风险分数和最大已知类信念计算开放集未知风险；根据所述开放集未知风险输出已知类别、未知恶意候选或待确认结果；将所述未知恶意候选或待确认结果写入未知候选池，并根据确认反馈更新已知类原型、未知候选簇、检测阈值或模态可靠度参数。</w:t>
      </w:r>
    </w:p>
    <w:p>
      <w:pPr>
        <w:pStyle w:val="a9"/>
      </w:pPr>
      <w:r>
        <w:t xml:space="preserve">一种证据冲突感知的可信开放集加密恶意流量检测系统，包括流量采集与会话重组模块、多粒度特征提取模块、模态质量评估模块、模态证据生成模块、证据冲突计算模块、证据折扣融合模块、开放集风险判定模块、未知候选池模块、反馈更新模块、证据包输出模块和模型参数管理模块。所述系统可部署在边界网关、旁路流量探针、流量分析服务器、云安全网关或检测平台中。</w:t>
      </w:r>
    </w:p>
    <w:p>
      <w:pPr>
        <w:pStyle w:val="a9"/>
      </w:pPr>
      <w:r>
        <w:rPr>
          <w:b/>
        </w:rPr>
        <w:t xml:space="preserve">实验与实施效果建议</w:t>
      </w:r>
    </w:p>
    <w:p>
      <w:pPr>
        <w:pStyle w:val="a9"/>
      </w:pPr>
      <w:r>
        <w:t xml:space="preserve">为证明本发明的技术效果，建议在实验中设置已知类分类、攻击族留出、未知协议留出、跨数据集迁移、真实园区流量验证、模态缺失、模态污染、短流截断、协议字段缺失和关系图稀疏等场景。建议记录已知类 Accuracy、Macro-F1、恶意类 Recall、Unknown Recall、AUROC、AUPR、OSCR、FPR@95TPR、误报率、漏报率、ECE、Brier Score、Risk-Coverage、吞吐量、P50/P95/P99 延迟、每日待确认量、确认命中率和未知候选簇纯度。通过对比闭集分类器、softmax 阈值、OpenMax、Energy Score、Mahalanobis 距离、普通多模态拼接、attention 融合和普通不确定性融合方法，可以验证本发明在 unknown 召回、误报控制、冲突解释和检测闭环方面的优势。</w:t>
      </w:r>
    </w:p>
    <w:p>
      <w:pPr>
        <w:pStyle w:val="a9"/>
      </w:pPr>
      <w:r>
        <w:t xml:space="preserve">本发明的保护重点不局限于某一具体数据集、模型结构或阈值数值，而在于一种面向加密恶意流量检测的系统化技术流程：多模态侧信道证据构造、模态证据意见生成、模态冲突显式建模、冲突驱动的自适应折扣融合、多因素开放集未知风险判定、结构化证据包输出以及经过确认后的参数反馈更新。上述流程能够适应不同网络规模、不同部署形态和不同加密协议演进，具有较强的工程实用价值和专利保护价值。</w:t>
      </w:r>
    </w:p>
    <w:sectPr w:rsidR="009D2BC3" w:rsidRPr="004F46CA" w:rsidSect="00CA3788">
      <w:headerReference w:type="default" r:id="rId14"/>
      <w:footerReference w:type="default" r:id="rId19"/>
      <w:headerReference w:type="first" r:id="rId10"/>
      <w:footerReference w:type="first" r:id="rId16"/>
      <w:pgSz w:w="11906" w:h="16838" w:code="9"/>
      <w:pgMar w:top="1418" w:right="1304" w:bottom="1134" w:left="1418" w:header="851" w:footer="567" w:gutter="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FKai-SB">
    <w:charset w:val="88"/>
    <w:family w:val="script"/>
    <w:pitch w:val="fixed"/>
    <w:sig w:usb0="00000003" w:usb1="080E0000" w:usb2="00000016" w:usb3="00000000" w:csb0="00100001" w:csb1="00000000"/>
  </w:font>
  <w:font w:name="仿宋_GB2312">
    <w:panose1 w:val="02010609030101010101"/>
    <w:charset w:val="86"/>
    <w:family w:val="modern"/>
    <w:pitch w:val="fixed"/>
    <w:sig w:usb0="00000001" w:usb1="080E0000" w:usb2="00000010" w:usb3="00000000" w:csb0="00040000"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_GB2312">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3"/>
      <w:tabs>
        <w:tab w:val="clear" w:pos="8306"/>
        <w:tab w:val="left" w:pos="4153"/>
      </w:tabs>
      <w:spacing w:line="200" w:lineRule="exact"/>
      <w:jc w:val="both"/>
    </w:pPr>
    <w:r>
      <w:rPr>
        <w:rFonts w:ascii="黑体" w:eastAsia="黑体"/>
      </w:rPr>
      <w:tab/>
    </w:r>
    <w:r>
      <w:rPr>
        <w:rStyle w:val="aa"/>
        <w:rFonts w:hint="eastAsia"/>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3"/>
      <w:tabs>
        <w:tab w:val="clear" w:pos="4153"/>
        <w:tab w:val="clear" w:pos="8306"/>
        <w:tab w:val="center" w:pos="4450"/>
      </w:tabs>
      <w:spacing w:line="200" w:lineRule="exact"/>
      <w:jc w:val="both"/>
    </w:pPr>
    <w:r>
      <w:rPr>
        <w:rFonts w:eastAsia="黑体"/>
      </w:rPr>
      <w:tab/>
    </w:r>
    <w:r w:rsidR="00CA5FC7">
      <w:rPr>
        <w:rStyle w:val="aa"/>
      </w:rPr>
      <w:fldChar w:fldCharType="begin"/>
    </w:r>
    <w:r>
      <w:rPr>
        <w:rStyle w:val="aa"/>
      </w:rPr>
      <w:instrText xml:space="preserve"> PAGE </w:instrText>
    </w:r>
    <w:r w:rsidR="00CA5FC7">
      <w:rPr>
        <w:rStyle w:val="aa"/>
      </w:rPr>
      <w:fldChar w:fldCharType="separate"/>
    </w:r>
    <w:r w:rsidR="00DD417A">
      <w:rPr>
        <w:rStyle w:val="aa"/>
        <w:noProof/>
      </w:rPr>
      <w:t>1</w:t>
    </w:r>
    <w:r w:rsidR="00CA5FC7">
      <w:rPr>
        <w:rStyle w:val="a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3"/>
      <w:tabs>
        <w:tab w:val="clear" w:pos="4153"/>
        <w:tab w:val="clear" w:pos="8306"/>
        <w:tab w:val="center" w:pos="4450"/>
      </w:tabs>
      <w:spacing w:line="200" w:lineRule="exact"/>
      <w:rPr>
        <w:rFonts w:ascii="黑体" w:eastAsia="黑体"/>
      </w:rPr>
    </w:pPr>
    <w:r>
      <w:rPr>
        <w:rFonts w:ascii="黑体" w:eastAsia="黑体"/>
      </w:rPr>
      <w:tab/>
    </w:r>
    <w:r w:rsidR="00CA5FC7">
      <w:rPr>
        <w:rStyle w:val="aa"/>
      </w:rPr>
      <w:fldChar w:fldCharType="begin"/>
    </w:r>
    <w:r>
      <w:rPr>
        <w:rStyle w:val="aa"/>
      </w:rPr>
      <w:instrText xml:space="preserve"> PAGE </w:instrText>
    </w:r>
    <w:r w:rsidR="00CA5FC7">
      <w:rPr>
        <w:rStyle w:val="aa"/>
      </w:rPr>
      <w:fldChar w:fldCharType="separate"/>
    </w:r>
    <w:r w:rsidR="0068414F">
      <w:rPr>
        <w:rStyle w:val="aa"/>
        <w:noProof/>
      </w:rPr>
      <w:t>2</w:t>
    </w:r>
    <w:r w:rsidR="00CA5FC7">
      <w:rPr>
        <w:rStyle w:val="a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3"/>
      <w:tabs>
        <w:tab w:val="clear" w:pos="4153"/>
        <w:tab w:val="clear" w:pos="8306"/>
        <w:tab w:val="center" w:pos="4450"/>
      </w:tabs>
      <w:spacing w:line="200" w:lineRule="exact"/>
    </w:pPr>
    <w:r>
      <w:rPr>
        <w:rFonts w:ascii="黑体" w:eastAsia="黑体"/>
      </w:rPr>
      <w:tab/>
    </w:r>
    <w:r w:rsidR="00CA5FC7">
      <w:rPr>
        <w:rStyle w:val="aa"/>
      </w:rPr>
      <w:fldChar w:fldCharType="begin"/>
    </w:r>
    <w:r>
      <w:rPr>
        <w:rStyle w:val="aa"/>
      </w:rPr>
      <w:instrText xml:space="preserve"> PAGE </w:instrText>
    </w:r>
    <w:r w:rsidR="00CA5FC7">
      <w:rPr>
        <w:rStyle w:val="aa"/>
      </w:rPr>
      <w:fldChar w:fldCharType="separate"/>
    </w:r>
    <w:r w:rsidR="0068414F">
      <w:rPr>
        <w:rStyle w:val="aa"/>
        <w:noProof/>
      </w:rPr>
      <w:t>1</w:t>
    </w:r>
    <w:r w:rsidR="00CA5FC7">
      <w:rPr>
        <w:rStyle w:val="a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3"/>
      <w:tabs>
        <w:tab w:val="clear" w:pos="4153"/>
        <w:tab w:val="clear" w:pos="8306"/>
        <w:tab w:val="center" w:pos="4450"/>
      </w:tabs>
      <w:spacing w:line="200" w:lineRule="exact"/>
      <w:rPr>
        <w:rFonts w:ascii="黑体" w:eastAsia="黑体"/>
      </w:rPr>
    </w:pPr>
    <w:r>
      <w:rPr>
        <w:rFonts w:ascii="黑体" w:eastAsia="黑体"/>
      </w:rPr>
      <w:tab/>
    </w:r>
    <w:r w:rsidR="00CA5FC7">
      <w:rPr>
        <w:rStyle w:val="aa"/>
      </w:rPr>
      <w:fldChar w:fldCharType="begin"/>
    </w:r>
    <w:r>
      <w:rPr>
        <w:rStyle w:val="aa"/>
      </w:rPr>
      <w:instrText xml:space="preserve"> PAGE </w:instrText>
    </w:r>
    <w:r w:rsidR="00CA5FC7">
      <w:rPr>
        <w:rStyle w:val="aa"/>
      </w:rPr>
      <w:fldChar w:fldCharType="separate"/>
    </w:r>
    <w:r w:rsidR="0068414F">
      <w:rPr>
        <w:rStyle w:val="aa"/>
        <w:noProof/>
      </w:rPr>
      <w:t>11</w:t>
    </w:r>
    <w:r w:rsidR="00CA5FC7">
      <w:rPr>
        <w:rStyle w:val="aa"/>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3"/>
      <w:tabs>
        <w:tab w:val="clear" w:pos="4153"/>
        <w:tab w:val="clear" w:pos="8306"/>
        <w:tab w:val="center" w:pos="4450"/>
      </w:tabs>
      <w:spacing w:line="200" w:lineRule="exact"/>
    </w:pPr>
    <w:r>
      <w:rPr>
        <w:rFonts w:ascii="黑体" w:eastAsia="黑体"/>
      </w:rPr>
      <w:tab/>
    </w:r>
    <w:r>
      <w:rPr>
        <w:rFonts w:ascii="黑体" w:eastAsia="黑体" w:hint="eastAsia"/>
      </w:rPr>
      <w:t>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7"/>
      <w:rPr>
        <w:rFonts w:eastAsia="黑体"/>
        <w:spacing w:val="90"/>
        <w:sz w:val="28"/>
        <w:szCs w:val="28"/>
      </w:rPr>
    </w:pPr>
    <w:r>
      <w:rPr>
        <w:rFonts w:eastAsia="黑体" w:hint="eastAsia"/>
        <w:spacing w:val="90"/>
        <w:sz w:val="28"/>
        <w:szCs w:val="28"/>
      </w:rPr>
      <w:t>摘要附图</w:t>
    </w:r>
  </w:p>
  <w:p w:rsidR="00FD77B2" w:rsidRDefault="00FD77B2" w:rsidP="00E24006">
    <w:pPr>
      <w:pStyle w:val="a7"/>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jc w:val="center"/>
      <w:outlineLvl w:val="0"/>
      <w:rPr>
        <w:rFonts w:ascii="黑体" w:eastAsia="黑体"/>
        <w:b/>
        <w:spacing w:val="90"/>
        <w:sz w:val="28"/>
        <w:szCs w:val="28"/>
      </w:rPr>
    </w:pPr>
    <w:r>
      <w:rPr>
        <w:rFonts w:eastAsia="黑体" w:hint="eastAsia"/>
        <w:spacing w:val="90"/>
        <w:sz w:val="28"/>
        <w:szCs w:val="28"/>
      </w:rPr>
      <w:t>说明书摘要</w:t>
    </w:r>
  </w:p>
  <w:p w:rsidR="00FD77B2" w:rsidRDefault="00FD77B2">
    <w:pPr>
      <w:pStyle w:val="a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jc w:val="center"/>
      <w:outlineLvl w:val="0"/>
      <w:rPr>
        <w:rFonts w:ascii="黑体" w:eastAsia="黑体"/>
        <w:b/>
        <w:spacing w:val="90"/>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7"/>
      <w:rPr>
        <w:rFonts w:eastAsia="黑体"/>
        <w:spacing w:val="90"/>
        <w:sz w:val="28"/>
        <w:szCs w:val="28"/>
      </w:rPr>
    </w:pPr>
    <w:r>
      <w:rPr>
        <w:rFonts w:eastAsia="黑体" w:hint="eastAsia"/>
        <w:spacing w:val="90"/>
        <w:sz w:val="28"/>
        <w:szCs w:val="28"/>
      </w:rPr>
      <w:t>权利要求书</w:t>
    </w:r>
  </w:p>
  <w:p w:rsidR="00FD77B2" w:rsidRDefault="00FD77B2" w:rsidP="00E24006">
    <w:pPr>
      <w:pStyle w:val="a7"/>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rsidP="00231CDE">
    <w:pPr>
      <w:pStyle w:val="a7"/>
    </w:pPr>
    <w:r>
      <w:rPr>
        <w:rFonts w:eastAsia="黑体" w:hint="eastAsia"/>
        <w:spacing w:val="90"/>
        <w:sz w:val="28"/>
      </w:rPr>
      <w:t>说明书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D77B2" w:rsidRDefault="00FD77B2">
    <w:pPr>
      <w:pStyle w:val="a7"/>
      <w:rPr>
        <w:rFonts w:eastAsia="黑体"/>
        <w:spacing w:val="90"/>
        <w:sz w:val="28"/>
      </w:rPr>
    </w:pPr>
    <w:r>
      <w:rPr>
        <w:rFonts w:eastAsia="黑体" w:hint="eastAsia"/>
        <w:spacing w:val="90"/>
        <w:sz w:val="28"/>
        <w:szCs w:val="28"/>
      </w:rPr>
      <w:t>说明书附图</w:t>
    </w:r>
  </w:p>
  <w:p w:rsidR="00FD77B2" w:rsidRDefault="00FD77B2" w:rsidP="00E24006">
    <w:pPr>
      <w:pStyle w:val="a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08A7E49"/>
    <w:multiLevelType w:val="singleLevel"/>
    <w:tmpl w:val="A08A7E49"/>
    <w:lvl w:ilvl="0">
      <w:start w:val="1"/>
      <w:numFmt w:val="decimal"/>
      <w:suff w:val="nothing"/>
      <w:lvlText w:val="%1、"/>
      <w:lvlJc w:val="left"/>
    </w:lvl>
  </w:abstractNum>
  <w:abstractNum w:abstractNumId="1" w15:restartNumberingAfterBreak="0">
    <w:nsid w:val="A94A88BC"/>
    <w:multiLevelType w:val="singleLevel"/>
    <w:tmpl w:val="A94A88BC"/>
    <w:lvl w:ilvl="0">
      <w:start w:val="1"/>
      <w:numFmt w:val="decimal"/>
      <w:suff w:val="nothing"/>
      <w:lvlText w:val="%1）"/>
      <w:lvlJc w:val="left"/>
    </w:lvl>
  </w:abstractNum>
  <w:abstractNum w:abstractNumId="2" w15:restartNumberingAfterBreak="0">
    <w:nsid w:val="B4AD6302"/>
    <w:multiLevelType w:val="singleLevel"/>
    <w:tmpl w:val="B4AD6302"/>
    <w:lvl w:ilvl="0">
      <w:start w:val="1"/>
      <w:numFmt w:val="decimal"/>
      <w:suff w:val="nothing"/>
      <w:lvlText w:val="（%1）"/>
      <w:lvlJc w:val="left"/>
    </w:lvl>
  </w:abstractNum>
  <w:abstractNum w:abstractNumId="3" w15:restartNumberingAfterBreak="0">
    <w:nsid w:val="B868B313"/>
    <w:multiLevelType w:val="singleLevel"/>
    <w:tmpl w:val="B868B313"/>
    <w:lvl w:ilvl="0">
      <w:start w:val="1"/>
      <w:numFmt w:val="decimal"/>
      <w:lvlText w:val="%1."/>
      <w:lvlJc w:val="left"/>
      <w:pPr>
        <w:tabs>
          <w:tab w:val="left" w:pos="312"/>
        </w:tabs>
      </w:pPr>
    </w:lvl>
  </w:abstractNum>
  <w:abstractNum w:abstractNumId="4" w15:restartNumberingAfterBreak="0">
    <w:nsid w:val="04BD6DC6"/>
    <w:multiLevelType w:val="hybridMultilevel"/>
    <w:tmpl w:val="F9DAB6BE"/>
    <w:lvl w:ilvl="0" w:tplc="0409000F">
      <w:start w:val="1"/>
      <w:numFmt w:val="decimal"/>
      <w:lvlText w:val="%1."/>
      <w:lvlJc w:val="left"/>
      <w:pPr>
        <w:tabs>
          <w:tab w:val="num" w:pos="780"/>
        </w:tabs>
        <w:ind w:left="780" w:hanging="420"/>
      </w:pPr>
    </w:lvl>
    <w:lvl w:ilvl="1" w:tplc="04090007">
      <w:start w:val="1"/>
      <w:numFmt w:val="bullet"/>
      <w:lvlText w:val=""/>
      <w:lvlPicBulletId w:val="0"/>
      <w:lvlJc w:val="left"/>
      <w:pPr>
        <w:tabs>
          <w:tab w:val="num" w:pos="1200"/>
        </w:tabs>
        <w:ind w:left="1200" w:hanging="420"/>
      </w:pPr>
      <w:rPr>
        <w:rFonts w:ascii="Wingdings" w:hAnsi="Wingdings" w:hint="default"/>
      </w:r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5" w15:restartNumberingAfterBreak="0">
    <w:nsid w:val="0AC60231"/>
    <w:multiLevelType w:val="hybridMultilevel"/>
    <w:tmpl w:val="0CF67E5C"/>
    <w:lvl w:ilvl="0" w:tplc="27509F2C">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0C00153A"/>
    <w:multiLevelType w:val="hybridMultilevel"/>
    <w:tmpl w:val="4442FA24"/>
    <w:lvl w:ilvl="0" w:tplc="45A63CF8">
      <w:start w:val="1"/>
      <w:numFmt w:val="decimal"/>
      <w:lvlText w:val="%1．"/>
      <w:lvlJc w:val="left"/>
      <w:pPr>
        <w:ind w:left="840" w:hanging="360"/>
      </w:pPr>
      <w:rPr>
        <w:rFonts w:hAnsi="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34C7D90"/>
    <w:multiLevelType w:val="hybridMultilevel"/>
    <w:tmpl w:val="D7E041D0"/>
    <w:lvl w:ilvl="0" w:tplc="8DF09A2A">
      <w:start w:val="2"/>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E531DA5"/>
    <w:multiLevelType w:val="hybridMultilevel"/>
    <w:tmpl w:val="DE94864A"/>
    <w:lvl w:ilvl="0" w:tplc="D7A0D4DE">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E8502E2"/>
    <w:multiLevelType w:val="multilevel"/>
    <w:tmpl w:val="B04616B2"/>
    <w:lvl w:ilvl="0">
      <w:start w:val="5"/>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4F15E7D"/>
    <w:multiLevelType w:val="hybridMultilevel"/>
    <w:tmpl w:val="5546D408"/>
    <w:lvl w:ilvl="0" w:tplc="5DB4539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11" w15:restartNumberingAfterBreak="0">
    <w:nsid w:val="2B4A7131"/>
    <w:multiLevelType w:val="hybridMultilevel"/>
    <w:tmpl w:val="7012E0C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BBC0EC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2C3E7B69"/>
    <w:multiLevelType w:val="multilevel"/>
    <w:tmpl w:val="10168D38"/>
    <w:lvl w:ilvl="0">
      <w:start w:val="1"/>
      <w:numFmt w:val="none"/>
      <w:suff w:val="nothing"/>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0FE33D0"/>
    <w:multiLevelType w:val="multilevel"/>
    <w:tmpl w:val="30FE33D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328011F4"/>
    <w:multiLevelType w:val="hybridMultilevel"/>
    <w:tmpl w:val="39AE3322"/>
    <w:lvl w:ilvl="0" w:tplc="BB705CD2">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638854B"/>
    <w:multiLevelType w:val="singleLevel"/>
    <w:tmpl w:val="3638854B"/>
    <w:lvl w:ilvl="0">
      <w:start w:val="1"/>
      <w:numFmt w:val="decimal"/>
      <w:suff w:val="nothing"/>
      <w:lvlText w:val="（%1）"/>
      <w:lvlJc w:val="left"/>
    </w:lvl>
  </w:abstractNum>
  <w:abstractNum w:abstractNumId="17" w15:restartNumberingAfterBreak="0">
    <w:nsid w:val="388459AA"/>
    <w:multiLevelType w:val="hybridMultilevel"/>
    <w:tmpl w:val="37D41E1C"/>
    <w:lvl w:ilvl="0" w:tplc="04090011">
      <w:start w:val="1"/>
      <w:numFmt w:val="decimal"/>
      <w:lvlText w:val="%1)"/>
      <w:lvlJc w:val="left"/>
      <w:pPr>
        <w:tabs>
          <w:tab w:val="num" w:pos="780"/>
        </w:tabs>
        <w:ind w:left="780" w:hanging="420"/>
      </w:pPr>
    </w:lvl>
    <w:lvl w:ilvl="1" w:tplc="04090019">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8" w15:restartNumberingAfterBreak="0">
    <w:nsid w:val="3A353BCC"/>
    <w:multiLevelType w:val="hybridMultilevel"/>
    <w:tmpl w:val="14DEEE3C"/>
    <w:lvl w:ilvl="0" w:tplc="CFB021E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9" w15:restartNumberingAfterBreak="0">
    <w:nsid w:val="40314D3D"/>
    <w:multiLevelType w:val="hybridMultilevel"/>
    <w:tmpl w:val="A7B66A34"/>
    <w:lvl w:ilvl="0" w:tplc="0C1CCBC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4E6E29F4"/>
    <w:multiLevelType w:val="multilevel"/>
    <w:tmpl w:val="44F0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744FCA"/>
    <w:multiLevelType w:val="hybridMultilevel"/>
    <w:tmpl w:val="824AEEF0"/>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15:restartNumberingAfterBreak="0">
    <w:nsid w:val="52B06FF6"/>
    <w:multiLevelType w:val="hybridMultilevel"/>
    <w:tmpl w:val="37205578"/>
    <w:lvl w:ilvl="0" w:tplc="156C0D30">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53DA07A0"/>
    <w:multiLevelType w:val="hybridMultilevel"/>
    <w:tmpl w:val="62ACCBDA"/>
    <w:lvl w:ilvl="0" w:tplc="37F8A05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544B07D9"/>
    <w:multiLevelType w:val="hybridMultilevel"/>
    <w:tmpl w:val="7E18C62C"/>
    <w:lvl w:ilvl="0" w:tplc="275C516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56DD23E7"/>
    <w:multiLevelType w:val="multilevel"/>
    <w:tmpl w:val="F7B6C544"/>
    <w:lvl w:ilvl="0">
      <w:start w:val="1"/>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979B6FB"/>
    <w:multiLevelType w:val="singleLevel"/>
    <w:tmpl w:val="5979B6FB"/>
    <w:lvl w:ilvl="0">
      <w:start w:val="1"/>
      <w:numFmt w:val="decimal"/>
      <w:pStyle w:val="MTDisplayEquation"/>
      <w:suff w:val="nothing"/>
      <w:lvlText w:val="%1）"/>
      <w:lvlJc w:val="left"/>
    </w:lvl>
  </w:abstractNum>
  <w:abstractNum w:abstractNumId="27" w15:restartNumberingAfterBreak="0">
    <w:nsid w:val="5AB35870"/>
    <w:multiLevelType w:val="hybridMultilevel"/>
    <w:tmpl w:val="2AE6148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601267F7"/>
    <w:multiLevelType w:val="hybridMultilevel"/>
    <w:tmpl w:val="EE9A098A"/>
    <w:lvl w:ilvl="0" w:tplc="01DCD612">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625A6E91"/>
    <w:multiLevelType w:val="hybridMultilevel"/>
    <w:tmpl w:val="ECDE9DAC"/>
    <w:lvl w:ilvl="0" w:tplc="0409000F">
      <w:start w:val="1"/>
      <w:numFmt w:val="decimal"/>
      <w:lvlText w:val="%1."/>
      <w:lvlJc w:val="left"/>
      <w:pPr>
        <w:tabs>
          <w:tab w:val="num" w:pos="420"/>
        </w:tabs>
        <w:ind w:left="420" w:hanging="420"/>
      </w:pPr>
    </w:lvl>
    <w:lvl w:ilvl="1" w:tplc="04090011">
      <w:start w:val="1"/>
      <w:numFmt w:val="decimal"/>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67AB5839"/>
    <w:multiLevelType w:val="hybridMultilevel"/>
    <w:tmpl w:val="A524EC66"/>
    <w:lvl w:ilvl="0" w:tplc="37F8A05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1" w15:restartNumberingAfterBreak="0">
    <w:nsid w:val="6A6153E0"/>
    <w:multiLevelType w:val="hybridMultilevel"/>
    <w:tmpl w:val="21ECDBEE"/>
    <w:lvl w:ilvl="0" w:tplc="5DB45396">
      <w:start w:val="1"/>
      <w:numFmt w:val="lowerLetter"/>
      <w:lvlText w:val="%1."/>
      <w:lvlJc w:val="left"/>
      <w:pPr>
        <w:tabs>
          <w:tab w:val="num" w:pos="570"/>
        </w:tabs>
        <w:ind w:left="57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6D0F39E6"/>
    <w:multiLevelType w:val="multilevel"/>
    <w:tmpl w:val="CE645A02"/>
    <w:lvl w:ilvl="0">
      <w:start w:val="1"/>
      <w:numFmt w:val="decimal"/>
      <w:lvlText w:val="%1."/>
      <w:lvlJc w:val="left"/>
      <w:pPr>
        <w:tabs>
          <w:tab w:val="num" w:pos="420"/>
        </w:tabs>
        <w:ind w:left="420" w:hanging="420"/>
      </w:pPr>
    </w:lvl>
    <w:lvl w:ilvl="1">
      <w:start w:val="3"/>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33" w15:restartNumberingAfterBreak="0">
    <w:nsid w:val="6FD21F48"/>
    <w:multiLevelType w:val="singleLevel"/>
    <w:tmpl w:val="9B72DB12"/>
    <w:lvl w:ilvl="0">
      <w:start w:val="5"/>
      <w:numFmt w:val="decimal"/>
      <w:lvlText w:val="●"/>
      <w:lvlJc w:val="left"/>
      <w:pPr>
        <w:tabs>
          <w:tab w:val="num" w:pos="360"/>
        </w:tabs>
        <w:ind w:left="360" w:hanging="360"/>
      </w:pPr>
      <w:rPr>
        <w:rFonts w:ascii="楷体_GB2312" w:hint="eastAsia"/>
      </w:rPr>
    </w:lvl>
  </w:abstractNum>
  <w:abstractNum w:abstractNumId="34" w15:restartNumberingAfterBreak="0">
    <w:nsid w:val="73FB390F"/>
    <w:multiLevelType w:val="hybridMultilevel"/>
    <w:tmpl w:val="22D6F092"/>
    <w:lvl w:ilvl="0" w:tplc="B45017D4">
      <w:start w:val="1"/>
      <w:numFmt w:val="decimal"/>
      <w:lvlText w:val="%1."/>
      <w:lvlJc w:val="left"/>
      <w:pPr>
        <w:tabs>
          <w:tab w:val="num" w:pos="780"/>
        </w:tabs>
        <w:ind w:left="780" w:hanging="360"/>
      </w:pPr>
      <w:rPr>
        <w:rFonts w:hint="default"/>
      </w:rPr>
    </w:lvl>
    <w:lvl w:ilvl="1" w:tplc="6268AC6A">
      <w:numFmt w:val="none"/>
      <w:lvlText w:val=""/>
      <w:lvlJc w:val="left"/>
      <w:pPr>
        <w:tabs>
          <w:tab w:val="num" w:pos="360"/>
        </w:tabs>
      </w:pPr>
    </w:lvl>
    <w:lvl w:ilvl="2" w:tplc="14008A52">
      <w:numFmt w:val="none"/>
      <w:lvlText w:val=""/>
      <w:lvlJc w:val="left"/>
      <w:pPr>
        <w:tabs>
          <w:tab w:val="num" w:pos="360"/>
        </w:tabs>
      </w:pPr>
    </w:lvl>
    <w:lvl w:ilvl="3" w:tplc="CB92238A">
      <w:numFmt w:val="none"/>
      <w:lvlText w:val=""/>
      <w:lvlJc w:val="left"/>
      <w:pPr>
        <w:tabs>
          <w:tab w:val="num" w:pos="360"/>
        </w:tabs>
      </w:pPr>
    </w:lvl>
    <w:lvl w:ilvl="4" w:tplc="D980885A">
      <w:numFmt w:val="none"/>
      <w:lvlText w:val=""/>
      <w:lvlJc w:val="left"/>
      <w:pPr>
        <w:tabs>
          <w:tab w:val="num" w:pos="360"/>
        </w:tabs>
      </w:pPr>
    </w:lvl>
    <w:lvl w:ilvl="5" w:tplc="43BCEBFA">
      <w:numFmt w:val="none"/>
      <w:lvlText w:val=""/>
      <w:lvlJc w:val="left"/>
      <w:pPr>
        <w:tabs>
          <w:tab w:val="num" w:pos="360"/>
        </w:tabs>
      </w:pPr>
    </w:lvl>
    <w:lvl w:ilvl="6" w:tplc="92E832FE">
      <w:numFmt w:val="none"/>
      <w:lvlText w:val=""/>
      <w:lvlJc w:val="left"/>
      <w:pPr>
        <w:tabs>
          <w:tab w:val="num" w:pos="360"/>
        </w:tabs>
      </w:pPr>
    </w:lvl>
    <w:lvl w:ilvl="7" w:tplc="C2443F5C">
      <w:numFmt w:val="none"/>
      <w:lvlText w:val=""/>
      <w:lvlJc w:val="left"/>
      <w:pPr>
        <w:tabs>
          <w:tab w:val="num" w:pos="360"/>
        </w:tabs>
      </w:pPr>
    </w:lvl>
    <w:lvl w:ilvl="8" w:tplc="2D8A733E">
      <w:numFmt w:val="none"/>
      <w:lvlText w:val=""/>
      <w:lvlJc w:val="left"/>
      <w:pPr>
        <w:tabs>
          <w:tab w:val="num" w:pos="360"/>
        </w:tabs>
      </w:pPr>
    </w:lvl>
  </w:abstractNum>
  <w:abstractNum w:abstractNumId="35" w15:restartNumberingAfterBreak="0">
    <w:nsid w:val="747F724C"/>
    <w:multiLevelType w:val="hybridMultilevel"/>
    <w:tmpl w:val="0226E438"/>
    <w:lvl w:ilvl="0" w:tplc="A14C5B38">
      <w:start w:val="2"/>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78215044"/>
    <w:multiLevelType w:val="hybridMultilevel"/>
    <w:tmpl w:val="C6AA0A30"/>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79CD0CD9"/>
    <w:multiLevelType w:val="multilevel"/>
    <w:tmpl w:val="ABD0BB42"/>
    <w:lvl w:ilvl="0">
      <w:start w:val="1"/>
      <w:numFmt w:val="chineseCountingThousand"/>
      <w:suff w:val="nothing"/>
      <w:lvlText w:val="第%1章 "/>
      <w:lvlJc w:val="left"/>
      <w:pPr>
        <w:ind w:left="0" w:firstLine="0"/>
      </w:pPr>
      <w:rPr>
        <w:rFonts w:ascii="宋体" w:eastAsia="宋体" w:hint="eastAsia"/>
      </w:rPr>
    </w:lvl>
    <w:lvl w:ilvl="1">
      <w:start w:val="1"/>
      <w:numFmt w:val="decimal"/>
      <w:isLgl/>
      <w:suff w:val="nothing"/>
      <w:lvlText w:val="%1.%2  "/>
      <w:lvlJc w:val="left"/>
      <w:pPr>
        <w:ind w:left="1418" w:firstLine="0"/>
      </w:pPr>
      <w:rPr>
        <w:rFonts w:ascii="Times New Roman" w:hAnsi="Times New Roman" w:hint="default"/>
      </w:rPr>
    </w:lvl>
    <w:lvl w:ilvl="2">
      <w:start w:val="1"/>
      <w:numFmt w:val="decimal"/>
      <w:isLgl/>
      <w:suff w:val="nothing"/>
      <w:lvlText w:val="%1.%2.%3  "/>
      <w:lvlJc w:val="left"/>
      <w:pPr>
        <w:ind w:left="960" w:firstLine="0"/>
      </w:pPr>
      <w:rPr>
        <w:rFonts w:ascii="Times New Roman" w:hAnsi="Times New Roman" w:hint="default"/>
      </w:rPr>
    </w:lvl>
    <w:lvl w:ilvl="3">
      <w:start w:val="1"/>
      <w:numFmt w:val="decimal"/>
      <w:isLgl/>
      <w:suff w:val="nothing"/>
      <w:lvlText w:val="%1.%2.%3.%4 "/>
      <w:lvlJc w:val="left"/>
      <w:pPr>
        <w:ind w:left="1134" w:hanging="1134"/>
      </w:pPr>
      <w:rPr>
        <w:rFonts w:hint="eastAsia"/>
      </w:rPr>
    </w:lvl>
    <w:lvl w:ilvl="4">
      <w:start w:val="1"/>
      <w:numFmt w:val="decimal"/>
      <w:isLgl/>
      <w:suff w:val="nothing"/>
      <w:lvlText w:val="(%5)  "/>
      <w:lvlJc w:val="left"/>
      <w:pPr>
        <w:ind w:left="96" w:firstLine="624"/>
      </w:pPr>
      <w:rPr>
        <w:rFonts w:hint="default"/>
      </w:rPr>
    </w:lvl>
    <w:lvl w:ilvl="5">
      <w:start w:val="1"/>
      <w:numFmt w:val="decimal"/>
      <w:suff w:val="nothing"/>
      <w:lvlText w:val="%6）"/>
      <w:lvlJc w:val="left"/>
      <w:pPr>
        <w:ind w:left="0" w:firstLine="624"/>
      </w:pPr>
      <w:rPr>
        <w:rFonts w:hint="default"/>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8" w15:restartNumberingAfterBreak="0">
    <w:nsid w:val="7B274B7A"/>
    <w:multiLevelType w:val="hybridMultilevel"/>
    <w:tmpl w:val="784A4430"/>
    <w:lvl w:ilvl="0" w:tplc="5DB4539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39" w15:restartNumberingAfterBreak="0">
    <w:nsid w:val="7F9A1E4A"/>
    <w:multiLevelType w:val="multilevel"/>
    <w:tmpl w:val="4C7CA646"/>
    <w:lvl w:ilvl="0">
      <w:start w:val="1"/>
      <w:numFmt w:val="none"/>
      <w:pStyle w:val="projectheading2"/>
      <w:suff w:val="nothing"/>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0" w15:restartNumberingAfterBreak="0">
    <w:nsid w:val="7FCA4BAC"/>
    <w:multiLevelType w:val="hybridMultilevel"/>
    <w:tmpl w:val="8DB26CEE"/>
    <w:lvl w:ilvl="0" w:tplc="37F8A05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90">
    <w:nsid w:val="5b620b92"/>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16cid:durableId="285163551">
    <w:abstractNumId w:val="15"/>
  </w:num>
  <w:num w:numId="2" w16cid:durableId="166868061">
    <w:abstractNumId w:val="8"/>
  </w:num>
  <w:num w:numId="3" w16cid:durableId="803230237">
    <w:abstractNumId w:val="3"/>
  </w:num>
  <w:num w:numId="4" w16cid:durableId="1088893191">
    <w:abstractNumId w:val="26"/>
  </w:num>
  <w:num w:numId="5" w16cid:durableId="663552321">
    <w:abstractNumId w:val="35"/>
  </w:num>
  <w:num w:numId="6" w16cid:durableId="11240807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8482798">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35073973">
    <w:abstractNumId w:val="6"/>
  </w:num>
  <w:num w:numId="9" w16cid:durableId="612906554">
    <w:abstractNumId w:val="1"/>
  </w:num>
  <w:num w:numId="10" w16cid:durableId="1137147442">
    <w:abstractNumId w:val="0"/>
  </w:num>
  <w:num w:numId="11" w16cid:durableId="42870236">
    <w:abstractNumId w:val="14"/>
  </w:num>
  <w:num w:numId="12" w16cid:durableId="599412453">
    <w:abstractNumId w:val="19"/>
  </w:num>
  <w:num w:numId="13" w16cid:durableId="457377273">
    <w:abstractNumId w:val="2"/>
  </w:num>
  <w:num w:numId="14" w16cid:durableId="1747610698">
    <w:abstractNumId w:val="16"/>
  </w:num>
  <w:num w:numId="15" w16cid:durableId="891355415">
    <w:abstractNumId w:val="11"/>
  </w:num>
  <w:num w:numId="16" w16cid:durableId="2051608231">
    <w:abstractNumId w:val="31"/>
  </w:num>
  <w:num w:numId="17" w16cid:durableId="781655659">
    <w:abstractNumId w:val="38"/>
  </w:num>
  <w:num w:numId="18" w16cid:durableId="599022914">
    <w:abstractNumId w:val="10"/>
  </w:num>
  <w:num w:numId="19" w16cid:durableId="287007864">
    <w:abstractNumId w:val="27"/>
  </w:num>
  <w:num w:numId="20" w16cid:durableId="699820393">
    <w:abstractNumId w:val="30"/>
  </w:num>
  <w:num w:numId="21" w16cid:durableId="2106265115">
    <w:abstractNumId w:val="23"/>
  </w:num>
  <w:num w:numId="22" w16cid:durableId="825440192">
    <w:abstractNumId w:val="40"/>
  </w:num>
  <w:num w:numId="23" w16cid:durableId="2013755108">
    <w:abstractNumId w:val="12"/>
  </w:num>
  <w:num w:numId="24" w16cid:durableId="461969872">
    <w:abstractNumId w:val="39"/>
  </w:num>
  <w:num w:numId="25" w16cid:durableId="1004825414">
    <w:abstractNumId w:val="13"/>
  </w:num>
  <w:num w:numId="26" w16cid:durableId="1212572143">
    <w:abstractNumId w:val="37"/>
  </w:num>
  <w:num w:numId="27" w16cid:durableId="1046947242">
    <w:abstractNumId w:val="24"/>
  </w:num>
  <w:num w:numId="28" w16cid:durableId="2012248983">
    <w:abstractNumId w:val="18"/>
  </w:num>
  <w:num w:numId="29" w16cid:durableId="1821925636">
    <w:abstractNumId w:val="34"/>
  </w:num>
  <w:num w:numId="30" w16cid:durableId="1830445169">
    <w:abstractNumId w:val="33"/>
  </w:num>
  <w:num w:numId="31" w16cid:durableId="897933065">
    <w:abstractNumId w:val="36"/>
  </w:num>
  <w:num w:numId="32" w16cid:durableId="1808471326">
    <w:abstractNumId w:val="32"/>
  </w:num>
  <w:num w:numId="33" w16cid:durableId="893396505">
    <w:abstractNumId w:val="29"/>
  </w:num>
  <w:num w:numId="34" w16cid:durableId="1706562865">
    <w:abstractNumId w:val="4"/>
  </w:num>
  <w:num w:numId="35" w16cid:durableId="71705487">
    <w:abstractNumId w:val="17"/>
  </w:num>
  <w:num w:numId="36" w16cid:durableId="822890434">
    <w:abstractNumId w:val="21"/>
  </w:num>
  <w:num w:numId="37" w16cid:durableId="977222499">
    <w:abstractNumId w:val="28"/>
  </w:num>
  <w:num w:numId="38" w16cid:durableId="1921014643">
    <w:abstractNumId w:val="20"/>
  </w:num>
  <w:num w:numId="39" w16cid:durableId="182020263">
    <w:abstractNumId w:val="5"/>
  </w:num>
  <w:num w:numId="40" w16cid:durableId="1196577847">
    <w:abstractNumId w:val="22"/>
  </w:num>
  <w:num w:numId="41" w16cid:durableId="227961828">
    <w:abstractNumId w:val="7"/>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86FD8"/>
    <w:pPr>
      <w:widowControl w:val="0"/>
      <w:jc w:val="both"/>
    </w:pPr>
    <w:rPr>
      <w:kern w:val="2"/>
      <w:sz w:val="21"/>
    </w:rPr>
  </w:style>
  <w:style w:type="paragraph" w:styleId="1">
    <w:name w:val="heading 1"/>
    <w:aliases w:val="本发明所属技术领域,H1,Normal + Font: Helvetica,Bold,Space Before 12 pt,Not Bold,DocAltHd,h1,1st level,Section Head,l1,章标题,1,no pg,I1,l1+toc 1,heading 1,1. heading 1,标准章,app heading 1,Huvudrubrik,R1,H11,Otsikko 1,Sec1,h11,1st level1,h12,1st level2,h13"/>
    <w:basedOn w:val="a"/>
    <w:next w:val="a"/>
    <w:link w:val="10"/>
    <w:qFormat/>
    <w:rsid w:val="009C7F6F"/>
    <w:pPr>
      <w:keepNext/>
      <w:keepLines/>
      <w:spacing w:before="340" w:after="330" w:line="578" w:lineRule="auto"/>
      <w:outlineLvl w:val="0"/>
    </w:pPr>
    <w:rPr>
      <w:b/>
      <w:bCs/>
      <w:kern w:val="44"/>
      <w:sz w:val="44"/>
      <w:szCs w:val="44"/>
    </w:rPr>
  </w:style>
  <w:style w:type="paragraph" w:styleId="2">
    <w:name w:val="heading 2"/>
    <w:aliases w:val="H2,2nd level,h2,2,Header 2,heading 2+ Indent: Left 0.25 in,Titre2,l2,Level 2 Head,heading 2,sect 1.2,prop2,PIM2,Heading 21,UNDERRUBRIK 1-2,level 2,I2,l2+toc 2,12,Heading 3 2,1.1  heading 2,Head2A,õberschrift 2,第一层条,Head 2,Underrubrik1,chn"/>
    <w:basedOn w:val="a"/>
    <w:next w:val="Body"/>
    <w:link w:val="20"/>
    <w:autoRedefine/>
    <w:qFormat/>
    <w:rsid w:val="00EE7D8C"/>
    <w:pPr>
      <w:spacing w:beforeLines="150" w:before="468" w:afterLines="50" w:after="156" w:line="360" w:lineRule="auto"/>
      <w:outlineLvl w:val="1"/>
    </w:pPr>
    <w:rPr>
      <w:rFonts w:eastAsia="黑体"/>
      <w:b/>
      <w:kern w:val="0"/>
      <w:sz w:val="30"/>
      <w:szCs w:val="30"/>
    </w:rPr>
  </w:style>
  <w:style w:type="paragraph" w:styleId="3">
    <w:name w:val="heading 3"/>
    <w:basedOn w:val="a"/>
    <w:next w:val="Body"/>
    <w:link w:val="30"/>
    <w:autoRedefine/>
    <w:qFormat/>
    <w:rsid w:val="00EE7D8C"/>
    <w:pPr>
      <w:spacing w:beforeLines="150" w:before="468" w:afterLines="20" w:after="62" w:line="360" w:lineRule="auto"/>
      <w:ind w:left="280"/>
      <w:outlineLvl w:val="2"/>
    </w:pPr>
    <w:rPr>
      <w:rFonts w:eastAsia="黑体"/>
      <w:b/>
      <w:color w:val="000000"/>
      <w:kern w:val="0"/>
      <w:sz w:val="28"/>
      <w:szCs w:val="28"/>
    </w:rPr>
  </w:style>
  <w:style w:type="paragraph" w:styleId="4">
    <w:name w:val="heading 4"/>
    <w:basedOn w:val="a"/>
    <w:next w:val="a"/>
    <w:link w:val="40"/>
    <w:autoRedefine/>
    <w:qFormat/>
    <w:rsid w:val="00EE7D8C"/>
    <w:pPr>
      <w:spacing w:beforeLines="100" w:afterLines="50" w:line="480" w:lineRule="atLeast"/>
      <w:ind w:left="1043"/>
      <w:outlineLvl w:val="3"/>
    </w:pPr>
    <w:rPr>
      <w:rFonts w:ascii="黑体" w:eastAsia="黑体" w:hAnsi="宋体"/>
      <w:color w:val="000000"/>
      <w:kern w:val="0"/>
      <w:sz w:val="28"/>
    </w:rPr>
  </w:style>
  <w:style w:type="paragraph" w:styleId="5">
    <w:name w:val="heading 5"/>
    <w:basedOn w:val="a"/>
    <w:next w:val="a"/>
    <w:link w:val="50"/>
    <w:autoRedefine/>
    <w:qFormat/>
    <w:rsid w:val="00EE7D8C"/>
    <w:pPr>
      <w:spacing w:line="480" w:lineRule="exact"/>
      <w:ind w:left="1043"/>
      <w:outlineLvl w:val="4"/>
    </w:pPr>
    <w:rPr>
      <w:kern w:val="0"/>
      <w:sz w:val="28"/>
    </w:rPr>
  </w:style>
  <w:style w:type="paragraph" w:styleId="6">
    <w:name w:val="heading 6"/>
    <w:basedOn w:val="a"/>
    <w:next w:val="a"/>
    <w:link w:val="60"/>
    <w:autoRedefine/>
    <w:qFormat/>
    <w:rsid w:val="00EE7D8C"/>
    <w:pPr>
      <w:spacing w:line="480" w:lineRule="exact"/>
      <w:ind w:left="1043"/>
      <w:jc w:val="left"/>
      <w:outlineLvl w:val="5"/>
    </w:pPr>
    <w:rPr>
      <w:color w:val="000000"/>
      <w:kern w:val="0"/>
      <w:sz w:val="28"/>
    </w:rPr>
  </w:style>
  <w:style w:type="paragraph" w:styleId="7">
    <w:name w:val="heading 7"/>
    <w:basedOn w:val="a"/>
    <w:next w:val="a"/>
    <w:link w:val="70"/>
    <w:autoRedefine/>
    <w:qFormat/>
    <w:rsid w:val="00EE7D8C"/>
    <w:pPr>
      <w:spacing w:line="480" w:lineRule="exact"/>
      <w:ind w:left="1443" w:hanging="400"/>
      <w:outlineLvl w:val="6"/>
    </w:pPr>
    <w:rPr>
      <w:color w:val="000000"/>
      <w:kern w:val="0"/>
      <w:sz w:val="28"/>
    </w:rPr>
  </w:style>
  <w:style w:type="paragraph" w:styleId="8">
    <w:name w:val="heading 8"/>
    <w:basedOn w:val="a"/>
    <w:next w:val="a"/>
    <w:link w:val="80"/>
    <w:autoRedefine/>
    <w:qFormat/>
    <w:rsid w:val="00EE7D8C"/>
    <w:pPr>
      <w:spacing w:line="480" w:lineRule="exact"/>
      <w:ind w:left="1443" w:hanging="400"/>
      <w:jc w:val="left"/>
      <w:outlineLvl w:val="7"/>
    </w:pPr>
    <w:rPr>
      <w:rFonts w:ascii="Arial" w:hAnsi="Arial"/>
      <w:kern w:val="0"/>
      <w:sz w:val="28"/>
    </w:rPr>
  </w:style>
  <w:style w:type="paragraph" w:styleId="9">
    <w:name w:val="heading 9"/>
    <w:basedOn w:val="a"/>
    <w:next w:val="a"/>
    <w:link w:val="90"/>
    <w:autoRedefine/>
    <w:qFormat/>
    <w:rsid w:val="00EE7D8C"/>
    <w:pPr>
      <w:spacing w:line="480" w:lineRule="exact"/>
      <w:ind w:left="1443" w:hanging="400"/>
      <w:jc w:val="left"/>
      <w:outlineLvl w:val="8"/>
    </w:pPr>
    <w:rPr>
      <w:rFonts w:ascii="Arial" w:hAnsi="Arial"/>
      <w:kern w:val="0"/>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C7F6F"/>
    <w:pPr>
      <w:tabs>
        <w:tab w:val="center" w:pos="4153"/>
        <w:tab w:val="right" w:pos="8306"/>
      </w:tabs>
      <w:snapToGrid w:val="0"/>
      <w:jc w:val="left"/>
    </w:pPr>
    <w:rPr>
      <w:sz w:val="18"/>
    </w:rPr>
  </w:style>
  <w:style w:type="paragraph" w:styleId="a5">
    <w:name w:val="Balloon Text"/>
    <w:basedOn w:val="a"/>
    <w:link w:val="a6"/>
    <w:rsid w:val="009C7F6F"/>
    <w:rPr>
      <w:sz w:val="18"/>
      <w:szCs w:val="18"/>
    </w:rPr>
  </w:style>
  <w:style w:type="paragraph" w:styleId="a7">
    <w:name w:val="header"/>
    <w:basedOn w:val="a"/>
    <w:link w:val="a8"/>
    <w:uiPriority w:val="99"/>
    <w:rsid w:val="009C7F6F"/>
    <w:pPr>
      <w:pBdr>
        <w:bottom w:val="single" w:sz="6" w:space="1" w:color="auto"/>
      </w:pBdr>
      <w:tabs>
        <w:tab w:val="center" w:pos="4153"/>
        <w:tab w:val="right" w:pos="8306"/>
      </w:tabs>
      <w:snapToGrid w:val="0"/>
      <w:jc w:val="center"/>
    </w:pPr>
    <w:rPr>
      <w:sz w:val="18"/>
      <w:szCs w:val="18"/>
    </w:rPr>
  </w:style>
  <w:style w:type="paragraph" w:styleId="a9">
    <w:name w:val="Body Text"/>
    <w:basedOn w:val="a"/>
    <w:rsid w:val="009C7F6F"/>
    <w:rPr>
      <w:sz w:val="28"/>
    </w:rPr>
  </w:style>
  <w:style w:type="character" w:styleId="aa">
    <w:name w:val="page number"/>
    <w:basedOn w:val="a0"/>
    <w:rsid w:val="009C7F6F"/>
  </w:style>
  <w:style w:type="paragraph" w:styleId="ab">
    <w:name w:val="Body Text Indent"/>
    <w:basedOn w:val="a"/>
    <w:rsid w:val="009C7F6F"/>
    <w:pPr>
      <w:spacing w:after="120"/>
      <w:ind w:leftChars="200" w:left="420"/>
    </w:pPr>
  </w:style>
  <w:style w:type="paragraph" w:customStyle="1" w:styleId="ac">
    <w:name w:val="說明書內文"/>
    <w:rsid w:val="009C7F6F"/>
    <w:pPr>
      <w:widowControl w:val="0"/>
      <w:ind w:firstLineChars="150" w:firstLine="420"/>
    </w:pPr>
    <w:rPr>
      <w:rFonts w:eastAsia="DFKai-SB"/>
      <w:noProof/>
      <w:kern w:val="28"/>
      <w:sz w:val="28"/>
      <w:lang w:eastAsia="zh-TW"/>
    </w:rPr>
  </w:style>
  <w:style w:type="paragraph" w:styleId="21">
    <w:name w:val="Body Text 2"/>
    <w:basedOn w:val="a"/>
    <w:rsid w:val="009C7F6F"/>
    <w:pPr>
      <w:spacing w:line="500" w:lineRule="exact"/>
    </w:pPr>
    <w:rPr>
      <w:rFonts w:eastAsia="仿宋_GB2312"/>
      <w:sz w:val="28"/>
      <w:szCs w:val="24"/>
    </w:rPr>
  </w:style>
  <w:style w:type="paragraph" w:styleId="22">
    <w:name w:val="Body Text Indent 2"/>
    <w:basedOn w:val="a"/>
    <w:rsid w:val="009C7F6F"/>
    <w:pPr>
      <w:spacing w:before="360" w:line="540" w:lineRule="exact"/>
      <w:ind w:firstLineChars="200" w:firstLine="560"/>
    </w:pPr>
    <w:rPr>
      <w:sz w:val="28"/>
    </w:rPr>
  </w:style>
  <w:style w:type="character" w:styleId="ad">
    <w:name w:val="Hyperlink"/>
    <w:basedOn w:val="a0"/>
    <w:uiPriority w:val="99"/>
    <w:rsid w:val="009C7F6F"/>
    <w:rPr>
      <w:color w:val="669900"/>
      <w:u w:val="single"/>
    </w:rPr>
  </w:style>
  <w:style w:type="paragraph" w:customStyle="1" w:styleId="jie">
    <w:name w:val="jie"/>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1">
    <w:name w:val="biao1"/>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duanluo">
    <w:name w:val="duanluo"/>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tou">
    <w:name w:val="biaotou"/>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e">
    <w:name w:val="Plain Text"/>
    <w:basedOn w:val="a"/>
    <w:link w:val="af"/>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f0">
    <w:name w:val="Normal (Web)"/>
    <w:basedOn w:val="a"/>
    <w:uiPriority w:val="99"/>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Char">
    <w:name w:val="Char"/>
    <w:basedOn w:val="a"/>
    <w:rsid w:val="00E6645F"/>
    <w:rPr>
      <w:rFonts w:ascii="Tahoma" w:hAnsi="Tahoma"/>
      <w:sz w:val="24"/>
    </w:rPr>
  </w:style>
  <w:style w:type="character" w:styleId="af1">
    <w:name w:val="annotation reference"/>
    <w:basedOn w:val="a0"/>
    <w:uiPriority w:val="99"/>
    <w:semiHidden/>
    <w:rsid w:val="003809F7"/>
    <w:rPr>
      <w:sz w:val="21"/>
      <w:szCs w:val="21"/>
    </w:rPr>
  </w:style>
  <w:style w:type="paragraph" w:styleId="af2">
    <w:name w:val="annotation text"/>
    <w:basedOn w:val="a"/>
    <w:link w:val="af3"/>
    <w:uiPriority w:val="99"/>
    <w:semiHidden/>
    <w:rsid w:val="003809F7"/>
    <w:pPr>
      <w:jc w:val="left"/>
    </w:pPr>
  </w:style>
  <w:style w:type="paragraph" w:styleId="af4">
    <w:name w:val="annotation subject"/>
    <w:basedOn w:val="af2"/>
    <w:next w:val="af2"/>
    <w:link w:val="af5"/>
    <w:uiPriority w:val="99"/>
    <w:semiHidden/>
    <w:rsid w:val="003809F7"/>
    <w:rPr>
      <w:b/>
      <w:bCs/>
    </w:rPr>
  </w:style>
  <w:style w:type="character" w:customStyle="1" w:styleId="line181">
    <w:name w:val="line181"/>
    <w:basedOn w:val="a0"/>
    <w:rsid w:val="00B10178"/>
  </w:style>
  <w:style w:type="paragraph" w:customStyle="1" w:styleId="CM5">
    <w:name w:val="CM5"/>
    <w:basedOn w:val="a"/>
    <w:next w:val="a"/>
    <w:rsid w:val="00AD4CFC"/>
    <w:pPr>
      <w:autoSpaceDE w:val="0"/>
      <w:autoSpaceDN w:val="0"/>
      <w:adjustRightInd w:val="0"/>
      <w:spacing w:after="190"/>
      <w:jc w:val="left"/>
    </w:pPr>
    <w:rPr>
      <w:rFonts w:ascii="Arial" w:hAnsi="Arial"/>
      <w:kern w:val="0"/>
      <w:sz w:val="24"/>
      <w:szCs w:val="24"/>
    </w:rPr>
  </w:style>
  <w:style w:type="character" w:styleId="af6">
    <w:name w:val="Emphasis"/>
    <w:basedOn w:val="a0"/>
    <w:uiPriority w:val="20"/>
    <w:qFormat/>
    <w:rsid w:val="00146B64"/>
    <w:rPr>
      <w:b w:val="0"/>
      <w:bCs w:val="0"/>
      <w:i w:val="0"/>
      <w:iCs w:val="0"/>
      <w:color w:val="CC0033"/>
    </w:rPr>
  </w:style>
  <w:style w:type="paragraph" w:customStyle="1" w:styleId="2CharChar">
    <w:name w:val="默认段落字体2 Char Char"/>
    <w:aliases w:val="默认段落字体 Para Char Char Char Char Char Char Char Char Char Char Char Char Char Char Char Char Char Char Char Char Char Char Char Char Char Char Char Char Char Char Char Char Char Char Char Char Char Char"/>
    <w:basedOn w:val="a"/>
    <w:rsid w:val="004169FB"/>
    <w:rPr>
      <w:rFonts w:ascii="Tahoma" w:hAnsi="Tahoma"/>
      <w:sz w:val="24"/>
    </w:rPr>
  </w:style>
  <w:style w:type="character" w:styleId="af7">
    <w:name w:val="line number"/>
    <w:basedOn w:val="a0"/>
    <w:rsid w:val="00235278"/>
  </w:style>
  <w:style w:type="paragraph" w:styleId="af8">
    <w:name w:val="Revision"/>
    <w:hidden/>
    <w:uiPriority w:val="99"/>
    <w:semiHidden/>
    <w:rsid w:val="00CF1667"/>
    <w:rPr>
      <w:kern w:val="2"/>
      <w:sz w:val="21"/>
    </w:rPr>
  </w:style>
  <w:style w:type="paragraph" w:customStyle="1" w:styleId="xinxitext">
    <w:name w:val="xinxitext"/>
    <w:basedOn w:val="a"/>
    <w:qFormat/>
    <w:rsid w:val="00E33A66"/>
    <w:pPr>
      <w:widowControl/>
      <w:spacing w:before="100" w:beforeAutospacing="1" w:after="100" w:afterAutospacing="1"/>
      <w:jc w:val="left"/>
    </w:pPr>
    <w:rPr>
      <w:rFonts w:ascii="_GB2312" w:hAnsi="_GB2312"/>
      <w:kern w:val="0"/>
      <w:sz w:val="18"/>
      <w:szCs w:val="18"/>
    </w:rPr>
  </w:style>
  <w:style w:type="character" w:customStyle="1" w:styleId="apple-converted-space">
    <w:name w:val="apple-converted-space"/>
    <w:basedOn w:val="a0"/>
    <w:rsid w:val="00CF50E3"/>
  </w:style>
  <w:style w:type="character" w:customStyle="1" w:styleId="af3">
    <w:name w:val="批注文字 字符"/>
    <w:basedOn w:val="a0"/>
    <w:link w:val="af2"/>
    <w:uiPriority w:val="99"/>
    <w:semiHidden/>
    <w:rsid w:val="003F25AA"/>
    <w:rPr>
      <w:kern w:val="2"/>
      <w:sz w:val="21"/>
    </w:rPr>
  </w:style>
  <w:style w:type="paragraph" w:styleId="af9">
    <w:name w:val="List Paragraph"/>
    <w:basedOn w:val="a"/>
    <w:link w:val="afa"/>
    <w:uiPriority w:val="34"/>
    <w:qFormat/>
    <w:rsid w:val="00983A39"/>
    <w:pPr>
      <w:ind w:firstLineChars="200" w:firstLine="420"/>
    </w:pPr>
  </w:style>
  <w:style w:type="paragraph" w:styleId="HTML">
    <w:name w:val="HTML Preformatted"/>
    <w:basedOn w:val="a"/>
    <w:link w:val="HTML0"/>
    <w:uiPriority w:val="99"/>
    <w:unhideWhenUsed/>
    <w:rsid w:val="00C475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C47595"/>
    <w:rPr>
      <w:rFonts w:ascii="宋体" w:hAnsi="宋体" w:cs="宋体"/>
      <w:sz w:val="24"/>
      <w:szCs w:val="24"/>
    </w:rPr>
  </w:style>
  <w:style w:type="character" w:customStyle="1" w:styleId="fontstyle01">
    <w:name w:val="fontstyle01"/>
    <w:basedOn w:val="a0"/>
    <w:rsid w:val="000B45B2"/>
    <w:rPr>
      <w:rFonts w:ascii="宋体" w:eastAsia="宋体" w:hAnsi="宋体" w:hint="eastAsia"/>
      <w:b w:val="0"/>
      <w:bCs w:val="0"/>
      <w:i w:val="0"/>
      <w:iCs w:val="0"/>
      <w:color w:val="000000"/>
      <w:sz w:val="24"/>
      <w:szCs w:val="24"/>
    </w:rPr>
  </w:style>
  <w:style w:type="table" w:styleId="afb">
    <w:name w:val="Table Grid"/>
    <w:basedOn w:val="a1"/>
    <w:rsid w:val="00404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列表段落 字符"/>
    <w:basedOn w:val="a0"/>
    <w:link w:val="af9"/>
    <w:uiPriority w:val="99"/>
    <w:qFormat/>
    <w:rsid w:val="00F94C4D"/>
    <w:rPr>
      <w:kern w:val="2"/>
      <w:sz w:val="21"/>
    </w:rPr>
  </w:style>
  <w:style w:type="paragraph" w:customStyle="1" w:styleId="11">
    <w:name w:val="正文1"/>
    <w:qFormat/>
    <w:rsid w:val="00F94C4D"/>
    <w:pPr>
      <w:widowControl w:val="0"/>
      <w:jc w:val="both"/>
    </w:pPr>
    <w:rPr>
      <w:kern w:val="2"/>
      <w:sz w:val="21"/>
      <w:szCs w:val="21"/>
    </w:rPr>
  </w:style>
  <w:style w:type="character" w:styleId="afc">
    <w:name w:val="FollowedHyperlink"/>
    <w:basedOn w:val="a0"/>
    <w:semiHidden/>
    <w:unhideWhenUsed/>
    <w:rsid w:val="008E5976"/>
    <w:rPr>
      <w:color w:val="800080" w:themeColor="followedHyperlink"/>
      <w:u w:val="single"/>
    </w:rPr>
  </w:style>
  <w:style w:type="character" w:styleId="afd">
    <w:name w:val="Placeholder Text"/>
    <w:basedOn w:val="a0"/>
    <w:uiPriority w:val="99"/>
    <w:semiHidden/>
    <w:rsid w:val="004B7388"/>
    <w:rPr>
      <w:color w:val="808080"/>
    </w:rPr>
  </w:style>
  <w:style w:type="paragraph" w:customStyle="1" w:styleId="MTDisplayEquation">
    <w:name w:val="MTDisplayEquation"/>
    <w:basedOn w:val="a"/>
    <w:next w:val="a"/>
    <w:qFormat/>
    <w:rsid w:val="00817693"/>
    <w:pPr>
      <w:numPr>
        <w:numId w:val="4"/>
      </w:numPr>
      <w:tabs>
        <w:tab w:val="center" w:pos="4820"/>
        <w:tab w:val="right" w:pos="9640"/>
      </w:tabs>
      <w:spacing w:line="360" w:lineRule="auto"/>
      <w:ind w:firstLineChars="200" w:firstLine="480"/>
    </w:pPr>
    <w:rPr>
      <w:rFonts w:asciiTheme="minorEastAsia" w:eastAsiaTheme="minorEastAsia" w:hAnsiTheme="minorEastAsia" w:cs="宋体"/>
      <w:color w:val="000000" w:themeColor="text1"/>
      <w:sz w:val="24"/>
      <w:szCs w:val="24"/>
    </w:rPr>
  </w:style>
  <w:style w:type="paragraph" w:customStyle="1" w:styleId="AMDisplayEquation">
    <w:name w:val="AMDisplayEquation"/>
    <w:basedOn w:val="a"/>
    <w:next w:val="a"/>
    <w:link w:val="AMDisplayEquation0"/>
    <w:rsid w:val="00D91758"/>
    <w:pPr>
      <w:tabs>
        <w:tab w:val="center" w:pos="4160"/>
        <w:tab w:val="right" w:pos="8300"/>
      </w:tabs>
    </w:pPr>
    <w:rPr>
      <w:rFonts w:asciiTheme="minorHAnsi" w:eastAsiaTheme="minorEastAsia" w:hAnsiTheme="minorHAnsi" w:cstheme="minorBidi"/>
      <w:szCs w:val="22"/>
    </w:rPr>
  </w:style>
  <w:style w:type="character" w:customStyle="1" w:styleId="AMDisplayEquation0">
    <w:name w:val="AMDisplayEquation 字符"/>
    <w:basedOn w:val="a0"/>
    <w:link w:val="AMDisplayEquation"/>
    <w:rsid w:val="00D91758"/>
    <w:rPr>
      <w:rFonts w:asciiTheme="minorHAnsi" w:eastAsiaTheme="minorEastAsia" w:hAnsiTheme="minorHAnsi" w:cstheme="minorBidi"/>
      <w:kern w:val="2"/>
      <w:sz w:val="21"/>
      <w:szCs w:val="22"/>
    </w:rPr>
  </w:style>
  <w:style w:type="paragraph" w:customStyle="1" w:styleId="Body">
    <w:name w:val="Body"/>
    <w:basedOn w:val="a"/>
    <w:qFormat/>
    <w:rsid w:val="007F75A5"/>
    <w:pPr>
      <w:spacing w:line="360" w:lineRule="auto"/>
      <w:ind w:firstLineChars="200" w:firstLine="200"/>
    </w:pPr>
    <w:rPr>
      <w:rFonts w:cs="宋体"/>
      <w:kern w:val="0"/>
      <w:sz w:val="24"/>
      <w:szCs w:val="28"/>
    </w:rPr>
  </w:style>
  <w:style w:type="character" w:customStyle="1" w:styleId="20">
    <w:name w:val="标题 2 字符"/>
    <w:aliases w:val="H2 字符,2nd level 字符,h2 字符,2 字符,Header 2 字符,heading 2+ Indent: Left 0.25 in 字符,Titre2 字符,l2 字符,Level 2 Head 字符,heading 2 字符,sect 1.2 字符,prop2 字符,PIM2 字符,Heading 21 字符,UNDERRUBRIK 1-2 字符,level 2 字符,I2 字符,l2+toc 2 字符,12 字符,Heading 3 2 字符,Head2A 字符"/>
    <w:basedOn w:val="a0"/>
    <w:link w:val="2"/>
    <w:rsid w:val="00EE7D8C"/>
    <w:rPr>
      <w:rFonts w:eastAsia="黑体"/>
      <w:b/>
      <w:sz w:val="30"/>
      <w:szCs w:val="30"/>
    </w:rPr>
  </w:style>
  <w:style w:type="character" w:customStyle="1" w:styleId="30">
    <w:name w:val="标题 3 字符"/>
    <w:basedOn w:val="a0"/>
    <w:link w:val="3"/>
    <w:rsid w:val="00EE7D8C"/>
    <w:rPr>
      <w:rFonts w:eastAsia="黑体"/>
      <w:b/>
      <w:color w:val="000000"/>
      <w:sz w:val="28"/>
      <w:szCs w:val="28"/>
    </w:rPr>
  </w:style>
  <w:style w:type="character" w:customStyle="1" w:styleId="40">
    <w:name w:val="标题 4 字符"/>
    <w:basedOn w:val="a0"/>
    <w:link w:val="4"/>
    <w:rsid w:val="00EE7D8C"/>
    <w:rPr>
      <w:rFonts w:ascii="黑体" w:eastAsia="黑体" w:hAnsi="宋体"/>
      <w:color w:val="000000"/>
      <w:sz w:val="28"/>
    </w:rPr>
  </w:style>
  <w:style w:type="character" w:customStyle="1" w:styleId="50">
    <w:name w:val="标题 5 字符"/>
    <w:basedOn w:val="a0"/>
    <w:link w:val="5"/>
    <w:rsid w:val="00EE7D8C"/>
    <w:rPr>
      <w:sz w:val="28"/>
    </w:rPr>
  </w:style>
  <w:style w:type="character" w:customStyle="1" w:styleId="60">
    <w:name w:val="标题 6 字符"/>
    <w:basedOn w:val="a0"/>
    <w:link w:val="6"/>
    <w:rsid w:val="00EE7D8C"/>
    <w:rPr>
      <w:color w:val="000000"/>
      <w:sz w:val="28"/>
    </w:rPr>
  </w:style>
  <w:style w:type="character" w:customStyle="1" w:styleId="70">
    <w:name w:val="标题 7 字符"/>
    <w:basedOn w:val="a0"/>
    <w:link w:val="7"/>
    <w:rsid w:val="00EE7D8C"/>
    <w:rPr>
      <w:color w:val="000000"/>
      <w:sz w:val="28"/>
    </w:rPr>
  </w:style>
  <w:style w:type="character" w:customStyle="1" w:styleId="80">
    <w:name w:val="标题 8 字符"/>
    <w:basedOn w:val="a0"/>
    <w:link w:val="8"/>
    <w:rsid w:val="00EE7D8C"/>
    <w:rPr>
      <w:rFonts w:ascii="Arial" w:hAnsi="Arial"/>
      <w:sz w:val="28"/>
    </w:rPr>
  </w:style>
  <w:style w:type="character" w:customStyle="1" w:styleId="90">
    <w:name w:val="标题 9 字符"/>
    <w:basedOn w:val="a0"/>
    <w:link w:val="9"/>
    <w:rsid w:val="00EE7D8C"/>
    <w:rPr>
      <w:rFonts w:ascii="Arial" w:hAnsi="Arial"/>
      <w:sz w:val="28"/>
    </w:rPr>
  </w:style>
  <w:style w:type="character" w:customStyle="1" w:styleId="10">
    <w:name w:val="标题 1 字符"/>
    <w:aliases w:val="本发明所属技术领域 字符,H1 字符,Normal + Font: Helvetica 字符,Bold 字符,Space Before 12 pt 字符,Not Bold 字符,DocAltHd 字符,h1 字符,1st level 字符,Section Head 字符,l1 字符,章标题 字符,1 字符,no pg 字符,I1 字符,l1+toc 1 字符,heading 1 字符,1. heading 1 字符,标准章 字符,app heading 1 字符,R1 字符"/>
    <w:basedOn w:val="a0"/>
    <w:link w:val="1"/>
    <w:rsid w:val="00EE7D8C"/>
    <w:rPr>
      <w:b/>
      <w:bCs/>
      <w:kern w:val="44"/>
      <w:sz w:val="44"/>
      <w:szCs w:val="44"/>
    </w:rPr>
  </w:style>
  <w:style w:type="paragraph" w:customStyle="1" w:styleId="projectheading1">
    <w:name w:val="project heading1"/>
    <w:basedOn w:val="a"/>
    <w:rsid w:val="00EE7D8C"/>
    <w:pPr>
      <w:spacing w:line="600" w:lineRule="exact"/>
      <w:jc w:val="center"/>
    </w:pPr>
    <w:rPr>
      <w:kern w:val="0"/>
      <w:sz w:val="44"/>
    </w:rPr>
  </w:style>
  <w:style w:type="paragraph" w:styleId="TOC1">
    <w:name w:val="toc 1"/>
    <w:basedOn w:val="a"/>
    <w:next w:val="a"/>
    <w:autoRedefine/>
    <w:uiPriority w:val="39"/>
    <w:rsid w:val="00EE7D8C"/>
    <w:pPr>
      <w:tabs>
        <w:tab w:val="right" w:leader="dot" w:pos="8381"/>
      </w:tabs>
      <w:spacing w:line="480" w:lineRule="exact"/>
    </w:pPr>
    <w:rPr>
      <w:rFonts w:ascii="Arial" w:eastAsia="黑体" w:hAnsi="Arial"/>
      <w:kern w:val="0"/>
      <w:sz w:val="28"/>
      <w:szCs w:val="28"/>
    </w:rPr>
  </w:style>
  <w:style w:type="paragraph" w:styleId="TOC2">
    <w:name w:val="toc 2"/>
    <w:basedOn w:val="a"/>
    <w:next w:val="a"/>
    <w:uiPriority w:val="39"/>
    <w:qFormat/>
    <w:rsid w:val="00EE7D8C"/>
    <w:pPr>
      <w:tabs>
        <w:tab w:val="right" w:leader="dot" w:pos="8364"/>
      </w:tabs>
      <w:spacing w:line="480" w:lineRule="exact"/>
    </w:pPr>
    <w:rPr>
      <w:rFonts w:ascii="仿宋_GB2312" w:eastAsia="仿宋_GB2312" w:hAnsi="Arial"/>
      <w:kern w:val="0"/>
      <w:sz w:val="24"/>
      <w:szCs w:val="28"/>
    </w:rPr>
  </w:style>
  <w:style w:type="character" w:customStyle="1" w:styleId="a4">
    <w:name w:val="页脚 字符"/>
    <w:basedOn w:val="a0"/>
    <w:link w:val="a3"/>
    <w:rsid w:val="00EE7D8C"/>
    <w:rPr>
      <w:kern w:val="2"/>
      <w:sz w:val="18"/>
    </w:rPr>
  </w:style>
  <w:style w:type="paragraph" w:styleId="afe">
    <w:name w:val="Document Map"/>
    <w:basedOn w:val="a"/>
    <w:link w:val="aff"/>
    <w:rsid w:val="00EE7D8C"/>
    <w:rPr>
      <w:rFonts w:ascii="Tahoma" w:hAnsi="Tahoma" w:cs="Tahoma"/>
      <w:kern w:val="0"/>
      <w:sz w:val="16"/>
      <w:szCs w:val="16"/>
    </w:rPr>
  </w:style>
  <w:style w:type="character" w:customStyle="1" w:styleId="aff">
    <w:name w:val="文档结构图 字符"/>
    <w:basedOn w:val="a0"/>
    <w:link w:val="afe"/>
    <w:rsid w:val="00EE7D8C"/>
    <w:rPr>
      <w:rFonts w:ascii="Tahoma" w:hAnsi="Tahoma" w:cs="Tahoma"/>
      <w:sz w:val="16"/>
      <w:szCs w:val="16"/>
    </w:rPr>
  </w:style>
  <w:style w:type="paragraph" w:customStyle="1" w:styleId="projectheading2">
    <w:name w:val="project heading2"/>
    <w:basedOn w:val="a"/>
    <w:rsid w:val="00EE7D8C"/>
    <w:pPr>
      <w:numPr>
        <w:numId w:val="24"/>
      </w:numPr>
      <w:adjustRightInd w:val="0"/>
      <w:spacing w:line="288" w:lineRule="auto"/>
      <w:jc w:val="center"/>
      <w:outlineLvl w:val="0"/>
    </w:pPr>
    <w:rPr>
      <w:rFonts w:eastAsia="黑体"/>
      <w:b/>
      <w:bCs/>
      <w:kern w:val="0"/>
      <w:sz w:val="52"/>
    </w:rPr>
  </w:style>
  <w:style w:type="paragraph" w:customStyle="1" w:styleId="projectheading3">
    <w:name w:val="project heading3"/>
    <w:basedOn w:val="a"/>
    <w:rsid w:val="00EE7D8C"/>
    <w:pPr>
      <w:spacing w:before="240" w:after="240"/>
      <w:ind w:left="1690" w:hanging="1690"/>
    </w:pPr>
    <w:rPr>
      <w:rFonts w:eastAsia="仿宋"/>
      <w:kern w:val="0"/>
      <w:sz w:val="32"/>
    </w:rPr>
  </w:style>
  <w:style w:type="paragraph" w:customStyle="1" w:styleId="Contents">
    <w:name w:val="Contents"/>
    <w:basedOn w:val="a"/>
    <w:rsid w:val="00EE7D8C"/>
    <w:pPr>
      <w:jc w:val="center"/>
      <w:outlineLvl w:val="0"/>
    </w:pPr>
    <w:rPr>
      <w:rFonts w:ascii="黑体" w:eastAsia="黑体"/>
      <w:b/>
      <w:bCs/>
      <w:color w:val="000000"/>
      <w:kern w:val="0"/>
      <w:sz w:val="30"/>
    </w:rPr>
  </w:style>
  <w:style w:type="character" w:customStyle="1" w:styleId="projectheading4">
    <w:name w:val="project heading4"/>
    <w:basedOn w:val="a0"/>
    <w:rsid w:val="00EE7D8C"/>
    <w:rPr>
      <w:rFonts w:ascii="黑体" w:hAnsi="黑体"/>
      <w:color w:val="000000"/>
    </w:rPr>
  </w:style>
  <w:style w:type="paragraph" w:customStyle="1" w:styleId="projectheading5">
    <w:name w:val="project heading5"/>
    <w:basedOn w:val="a"/>
    <w:rsid w:val="00EE7D8C"/>
    <w:pPr>
      <w:jc w:val="center"/>
    </w:pPr>
    <w:rPr>
      <w:rFonts w:ascii="黑体"/>
      <w:color w:val="000000"/>
      <w:kern w:val="0"/>
      <w:sz w:val="20"/>
    </w:rPr>
  </w:style>
  <w:style w:type="character" w:customStyle="1" w:styleId="a8">
    <w:name w:val="页眉 字符"/>
    <w:basedOn w:val="a0"/>
    <w:link w:val="a7"/>
    <w:uiPriority w:val="99"/>
    <w:rsid w:val="00EE7D8C"/>
    <w:rPr>
      <w:kern w:val="2"/>
      <w:sz w:val="18"/>
      <w:szCs w:val="18"/>
    </w:rPr>
  </w:style>
  <w:style w:type="table" w:styleId="12">
    <w:name w:val="Table Simple 1"/>
    <w:basedOn w:val="a1"/>
    <w:rsid w:val="00EE7D8C"/>
    <w:pPr>
      <w:widowControl w:val="0"/>
      <w:spacing w:before="60" w:after="120"/>
      <w:jc w:val="both"/>
    </w:pPr>
    <w:rPr>
      <w:sz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6">
    <w:name w:val="批注框文本 字符"/>
    <w:basedOn w:val="a0"/>
    <w:link w:val="a5"/>
    <w:rsid w:val="00EE7D8C"/>
    <w:rPr>
      <w:kern w:val="2"/>
      <w:sz w:val="18"/>
      <w:szCs w:val="18"/>
    </w:rPr>
  </w:style>
  <w:style w:type="paragraph" w:styleId="aff0">
    <w:name w:val="No Spacing"/>
    <w:link w:val="aff1"/>
    <w:uiPriority w:val="1"/>
    <w:qFormat/>
    <w:rsid w:val="00EE7D8C"/>
    <w:rPr>
      <w:rFonts w:asciiTheme="minorHAnsi" w:eastAsiaTheme="minorEastAsia" w:hAnsiTheme="minorHAnsi" w:cstheme="minorBidi"/>
      <w:sz w:val="22"/>
      <w:szCs w:val="22"/>
      <w:lang w:eastAsia="en-US"/>
    </w:rPr>
  </w:style>
  <w:style w:type="character" w:customStyle="1" w:styleId="aff1">
    <w:name w:val="无间隔 字符"/>
    <w:basedOn w:val="a0"/>
    <w:link w:val="aff0"/>
    <w:uiPriority w:val="1"/>
    <w:rsid w:val="00EE7D8C"/>
    <w:rPr>
      <w:rFonts w:asciiTheme="minorHAnsi" w:eastAsiaTheme="minorEastAsia" w:hAnsiTheme="minorHAnsi" w:cstheme="minorBidi"/>
      <w:sz w:val="22"/>
      <w:szCs w:val="22"/>
      <w:lang w:eastAsia="en-US"/>
    </w:rPr>
  </w:style>
  <w:style w:type="paragraph" w:customStyle="1" w:styleId="BodyIndent">
    <w:name w:val="Body Indent"/>
    <w:basedOn w:val="Body"/>
    <w:rsid w:val="00EE7D8C"/>
    <w:pPr>
      <w:ind w:firstLine="480"/>
    </w:pPr>
    <w:rPr>
      <w:szCs w:val="20"/>
    </w:rPr>
  </w:style>
  <w:style w:type="character" w:customStyle="1" w:styleId="af">
    <w:name w:val="纯文本 字符"/>
    <w:basedOn w:val="a0"/>
    <w:link w:val="ae"/>
    <w:rsid w:val="00EE7D8C"/>
    <w:rPr>
      <w:rFonts w:ascii="PMingLiU" w:eastAsia="PMingLiU" w:hAnsi="PMingLiU"/>
      <w:color w:val="666600"/>
      <w:sz w:val="24"/>
      <w:szCs w:val="24"/>
      <w:lang w:eastAsia="zh-TW"/>
    </w:rPr>
  </w:style>
  <w:style w:type="character" w:customStyle="1" w:styleId="af5">
    <w:name w:val="批注主题 字符"/>
    <w:basedOn w:val="af3"/>
    <w:link w:val="af4"/>
    <w:uiPriority w:val="99"/>
    <w:semiHidden/>
    <w:rsid w:val="00EE7D8C"/>
    <w:rPr>
      <w:b/>
      <w:bCs/>
      <w:kern w:val="2"/>
      <w:sz w:val="21"/>
    </w:rPr>
  </w:style>
  <w:style w:type="character" w:styleId="aff2">
    <w:name w:val="Unresolved Mention"/>
    <w:basedOn w:val="a0"/>
    <w:uiPriority w:val="99"/>
    <w:semiHidden/>
    <w:unhideWhenUsed/>
    <w:rsid w:val="00EE7D8C"/>
    <w:rPr>
      <w:color w:val="605E5C"/>
      <w:shd w:val="clear" w:color="auto" w:fill="E1DFDD"/>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4727">
      <w:bodyDiv w:val="1"/>
      <w:marLeft w:val="0"/>
      <w:marRight w:val="0"/>
      <w:marTop w:val="0"/>
      <w:marBottom w:val="0"/>
      <w:divBdr>
        <w:top w:val="none" w:sz="0" w:space="0" w:color="auto"/>
        <w:left w:val="none" w:sz="0" w:space="0" w:color="auto"/>
        <w:bottom w:val="none" w:sz="0" w:space="0" w:color="auto"/>
        <w:right w:val="none" w:sz="0" w:space="0" w:color="auto"/>
      </w:divBdr>
    </w:div>
    <w:div w:id="160435888">
      <w:bodyDiv w:val="1"/>
      <w:marLeft w:val="0"/>
      <w:marRight w:val="0"/>
      <w:marTop w:val="0"/>
      <w:marBottom w:val="0"/>
      <w:divBdr>
        <w:top w:val="none" w:sz="0" w:space="0" w:color="auto"/>
        <w:left w:val="none" w:sz="0" w:space="0" w:color="auto"/>
        <w:bottom w:val="none" w:sz="0" w:space="0" w:color="auto"/>
        <w:right w:val="none" w:sz="0" w:space="0" w:color="auto"/>
      </w:divBdr>
      <w:divsChild>
        <w:div w:id="1358971412">
          <w:marLeft w:val="0"/>
          <w:marRight w:val="0"/>
          <w:marTop w:val="0"/>
          <w:marBottom w:val="0"/>
          <w:divBdr>
            <w:top w:val="none" w:sz="0" w:space="0" w:color="auto"/>
            <w:left w:val="none" w:sz="0" w:space="0" w:color="auto"/>
            <w:bottom w:val="none" w:sz="0" w:space="0" w:color="auto"/>
            <w:right w:val="none" w:sz="0" w:space="0" w:color="auto"/>
          </w:divBdr>
        </w:div>
      </w:divsChild>
    </w:div>
    <w:div w:id="181865649">
      <w:bodyDiv w:val="1"/>
      <w:marLeft w:val="0"/>
      <w:marRight w:val="0"/>
      <w:marTop w:val="0"/>
      <w:marBottom w:val="0"/>
      <w:divBdr>
        <w:top w:val="none" w:sz="0" w:space="0" w:color="auto"/>
        <w:left w:val="none" w:sz="0" w:space="0" w:color="auto"/>
        <w:bottom w:val="none" w:sz="0" w:space="0" w:color="auto"/>
        <w:right w:val="none" w:sz="0" w:space="0" w:color="auto"/>
      </w:divBdr>
      <w:divsChild>
        <w:div w:id="280191116">
          <w:marLeft w:val="0"/>
          <w:marRight w:val="0"/>
          <w:marTop w:val="0"/>
          <w:marBottom w:val="0"/>
          <w:divBdr>
            <w:top w:val="none" w:sz="0" w:space="0" w:color="auto"/>
            <w:left w:val="none" w:sz="0" w:space="0" w:color="auto"/>
            <w:bottom w:val="none" w:sz="0" w:space="0" w:color="auto"/>
            <w:right w:val="none" w:sz="0" w:space="0" w:color="auto"/>
          </w:divBdr>
        </w:div>
      </w:divsChild>
    </w:div>
    <w:div w:id="189343242">
      <w:bodyDiv w:val="1"/>
      <w:marLeft w:val="0"/>
      <w:marRight w:val="0"/>
      <w:marTop w:val="0"/>
      <w:marBottom w:val="0"/>
      <w:divBdr>
        <w:top w:val="none" w:sz="0" w:space="0" w:color="auto"/>
        <w:left w:val="none" w:sz="0" w:space="0" w:color="auto"/>
        <w:bottom w:val="none" w:sz="0" w:space="0" w:color="auto"/>
        <w:right w:val="none" w:sz="0" w:space="0" w:color="auto"/>
      </w:divBdr>
      <w:divsChild>
        <w:div w:id="1797144284">
          <w:marLeft w:val="0"/>
          <w:marRight w:val="0"/>
          <w:marTop w:val="0"/>
          <w:marBottom w:val="0"/>
          <w:divBdr>
            <w:top w:val="none" w:sz="0" w:space="0" w:color="auto"/>
            <w:left w:val="none" w:sz="0" w:space="0" w:color="auto"/>
            <w:bottom w:val="none" w:sz="0" w:space="0" w:color="auto"/>
            <w:right w:val="none" w:sz="0" w:space="0" w:color="auto"/>
          </w:divBdr>
        </w:div>
      </w:divsChild>
    </w:div>
    <w:div w:id="395203575">
      <w:bodyDiv w:val="1"/>
      <w:marLeft w:val="0"/>
      <w:marRight w:val="0"/>
      <w:marTop w:val="0"/>
      <w:marBottom w:val="0"/>
      <w:divBdr>
        <w:top w:val="none" w:sz="0" w:space="0" w:color="auto"/>
        <w:left w:val="none" w:sz="0" w:space="0" w:color="auto"/>
        <w:bottom w:val="none" w:sz="0" w:space="0" w:color="auto"/>
        <w:right w:val="none" w:sz="0" w:space="0" w:color="auto"/>
      </w:divBdr>
      <w:divsChild>
        <w:div w:id="2111780952">
          <w:marLeft w:val="0"/>
          <w:marRight w:val="0"/>
          <w:marTop w:val="0"/>
          <w:marBottom w:val="0"/>
          <w:divBdr>
            <w:top w:val="none" w:sz="0" w:space="0" w:color="auto"/>
            <w:left w:val="none" w:sz="0" w:space="0" w:color="auto"/>
            <w:bottom w:val="none" w:sz="0" w:space="0" w:color="auto"/>
            <w:right w:val="none" w:sz="0" w:space="0" w:color="auto"/>
          </w:divBdr>
        </w:div>
      </w:divsChild>
    </w:div>
    <w:div w:id="445731211">
      <w:bodyDiv w:val="1"/>
      <w:marLeft w:val="0"/>
      <w:marRight w:val="0"/>
      <w:marTop w:val="0"/>
      <w:marBottom w:val="0"/>
      <w:divBdr>
        <w:top w:val="none" w:sz="0" w:space="0" w:color="auto"/>
        <w:left w:val="none" w:sz="0" w:space="0" w:color="auto"/>
        <w:bottom w:val="none" w:sz="0" w:space="0" w:color="auto"/>
        <w:right w:val="none" w:sz="0" w:space="0" w:color="auto"/>
      </w:divBdr>
      <w:divsChild>
        <w:div w:id="2133088746">
          <w:marLeft w:val="0"/>
          <w:marRight w:val="0"/>
          <w:marTop w:val="0"/>
          <w:marBottom w:val="0"/>
          <w:divBdr>
            <w:top w:val="none" w:sz="0" w:space="0" w:color="auto"/>
            <w:left w:val="none" w:sz="0" w:space="0" w:color="auto"/>
            <w:bottom w:val="none" w:sz="0" w:space="0" w:color="auto"/>
            <w:right w:val="none" w:sz="0" w:space="0" w:color="auto"/>
          </w:divBdr>
        </w:div>
      </w:divsChild>
    </w:div>
    <w:div w:id="483661314">
      <w:bodyDiv w:val="1"/>
      <w:marLeft w:val="0"/>
      <w:marRight w:val="0"/>
      <w:marTop w:val="0"/>
      <w:marBottom w:val="0"/>
      <w:divBdr>
        <w:top w:val="none" w:sz="0" w:space="0" w:color="auto"/>
        <w:left w:val="none" w:sz="0" w:space="0" w:color="auto"/>
        <w:bottom w:val="none" w:sz="0" w:space="0" w:color="auto"/>
        <w:right w:val="none" w:sz="0" w:space="0" w:color="auto"/>
      </w:divBdr>
    </w:div>
    <w:div w:id="1030104729">
      <w:bodyDiv w:val="1"/>
      <w:marLeft w:val="0"/>
      <w:marRight w:val="0"/>
      <w:marTop w:val="0"/>
      <w:marBottom w:val="0"/>
      <w:divBdr>
        <w:top w:val="none" w:sz="0" w:space="0" w:color="auto"/>
        <w:left w:val="none" w:sz="0" w:space="0" w:color="auto"/>
        <w:bottom w:val="none" w:sz="0" w:space="0" w:color="auto"/>
        <w:right w:val="none" w:sz="0" w:space="0" w:color="auto"/>
      </w:divBdr>
    </w:div>
    <w:div w:id="1236361466">
      <w:bodyDiv w:val="1"/>
      <w:marLeft w:val="0"/>
      <w:marRight w:val="0"/>
      <w:marTop w:val="0"/>
      <w:marBottom w:val="0"/>
      <w:divBdr>
        <w:top w:val="none" w:sz="0" w:space="0" w:color="auto"/>
        <w:left w:val="none" w:sz="0" w:space="0" w:color="auto"/>
        <w:bottom w:val="none" w:sz="0" w:space="0" w:color="auto"/>
        <w:right w:val="none" w:sz="0" w:space="0" w:color="auto"/>
      </w:divBdr>
    </w:div>
    <w:div w:id="1242452469">
      <w:bodyDiv w:val="1"/>
      <w:marLeft w:val="0"/>
      <w:marRight w:val="0"/>
      <w:marTop w:val="0"/>
      <w:marBottom w:val="0"/>
      <w:divBdr>
        <w:top w:val="none" w:sz="0" w:space="0" w:color="auto"/>
        <w:left w:val="none" w:sz="0" w:space="0" w:color="auto"/>
        <w:bottom w:val="none" w:sz="0" w:space="0" w:color="auto"/>
        <w:right w:val="none" w:sz="0" w:space="0" w:color="auto"/>
      </w:divBdr>
      <w:divsChild>
        <w:div w:id="1264996653">
          <w:marLeft w:val="0"/>
          <w:marRight w:val="0"/>
          <w:marTop w:val="0"/>
          <w:marBottom w:val="0"/>
          <w:divBdr>
            <w:top w:val="none" w:sz="0" w:space="0" w:color="auto"/>
            <w:left w:val="none" w:sz="0" w:space="0" w:color="auto"/>
            <w:bottom w:val="none" w:sz="0" w:space="0" w:color="auto"/>
            <w:right w:val="none" w:sz="0" w:space="0" w:color="auto"/>
          </w:divBdr>
        </w:div>
      </w:divsChild>
    </w:div>
    <w:div w:id="1349060455">
      <w:bodyDiv w:val="1"/>
      <w:marLeft w:val="0"/>
      <w:marRight w:val="0"/>
      <w:marTop w:val="0"/>
      <w:marBottom w:val="0"/>
      <w:divBdr>
        <w:top w:val="none" w:sz="0" w:space="0" w:color="auto"/>
        <w:left w:val="none" w:sz="0" w:space="0" w:color="auto"/>
        <w:bottom w:val="none" w:sz="0" w:space="0" w:color="auto"/>
        <w:right w:val="none" w:sz="0" w:space="0" w:color="auto"/>
      </w:divBdr>
    </w:div>
    <w:div w:id="1482771805">
      <w:bodyDiv w:val="1"/>
      <w:marLeft w:val="0"/>
      <w:marRight w:val="0"/>
      <w:marTop w:val="0"/>
      <w:marBottom w:val="0"/>
      <w:divBdr>
        <w:top w:val="none" w:sz="0" w:space="0" w:color="auto"/>
        <w:left w:val="none" w:sz="0" w:space="0" w:color="auto"/>
        <w:bottom w:val="none" w:sz="0" w:space="0" w:color="auto"/>
        <w:right w:val="none" w:sz="0" w:space="0" w:color="auto"/>
      </w:divBdr>
    </w:div>
    <w:div w:id="1494377197">
      <w:bodyDiv w:val="1"/>
      <w:marLeft w:val="0"/>
      <w:marRight w:val="0"/>
      <w:marTop w:val="0"/>
      <w:marBottom w:val="0"/>
      <w:divBdr>
        <w:top w:val="none" w:sz="0" w:space="0" w:color="auto"/>
        <w:left w:val="none" w:sz="0" w:space="0" w:color="auto"/>
        <w:bottom w:val="none" w:sz="0" w:space="0" w:color="auto"/>
        <w:right w:val="none" w:sz="0" w:space="0" w:color="auto"/>
      </w:divBdr>
    </w:div>
    <w:div w:id="1530610171">
      <w:bodyDiv w:val="1"/>
      <w:marLeft w:val="0"/>
      <w:marRight w:val="0"/>
      <w:marTop w:val="0"/>
      <w:marBottom w:val="0"/>
      <w:divBdr>
        <w:top w:val="none" w:sz="0" w:space="0" w:color="auto"/>
        <w:left w:val="none" w:sz="0" w:space="0" w:color="auto"/>
        <w:bottom w:val="none" w:sz="0" w:space="0" w:color="auto"/>
        <w:right w:val="none" w:sz="0" w:space="0" w:color="auto"/>
      </w:divBdr>
      <w:divsChild>
        <w:div w:id="39861815">
          <w:marLeft w:val="0"/>
          <w:marRight w:val="0"/>
          <w:marTop w:val="0"/>
          <w:marBottom w:val="0"/>
          <w:divBdr>
            <w:top w:val="none" w:sz="0" w:space="0" w:color="auto"/>
            <w:left w:val="none" w:sz="0" w:space="0" w:color="auto"/>
            <w:bottom w:val="none" w:sz="0" w:space="0" w:color="auto"/>
            <w:right w:val="none" w:sz="0" w:space="0" w:color="auto"/>
          </w:divBdr>
        </w:div>
      </w:divsChild>
    </w:div>
    <w:div w:id="1538666106">
      <w:bodyDiv w:val="1"/>
      <w:marLeft w:val="0"/>
      <w:marRight w:val="0"/>
      <w:marTop w:val="0"/>
      <w:marBottom w:val="0"/>
      <w:divBdr>
        <w:top w:val="none" w:sz="0" w:space="0" w:color="auto"/>
        <w:left w:val="none" w:sz="0" w:space="0" w:color="auto"/>
        <w:bottom w:val="none" w:sz="0" w:space="0" w:color="auto"/>
        <w:right w:val="none" w:sz="0" w:space="0" w:color="auto"/>
      </w:divBdr>
    </w:div>
    <w:div w:id="1655642981">
      <w:bodyDiv w:val="1"/>
      <w:marLeft w:val="0"/>
      <w:marRight w:val="0"/>
      <w:marTop w:val="0"/>
      <w:marBottom w:val="0"/>
      <w:divBdr>
        <w:top w:val="none" w:sz="0" w:space="0" w:color="auto"/>
        <w:left w:val="none" w:sz="0" w:space="0" w:color="auto"/>
        <w:bottom w:val="none" w:sz="0" w:space="0" w:color="auto"/>
        <w:right w:val="none" w:sz="0" w:space="0" w:color="auto"/>
      </w:divBdr>
    </w:div>
    <w:div w:id="1716930814">
      <w:bodyDiv w:val="1"/>
      <w:marLeft w:val="0"/>
      <w:marRight w:val="0"/>
      <w:marTop w:val="0"/>
      <w:marBottom w:val="0"/>
      <w:divBdr>
        <w:top w:val="none" w:sz="0" w:space="0" w:color="auto"/>
        <w:left w:val="none" w:sz="0" w:space="0" w:color="auto"/>
        <w:bottom w:val="none" w:sz="0" w:space="0" w:color="auto"/>
        <w:right w:val="none" w:sz="0" w:space="0" w:color="auto"/>
      </w:divBdr>
    </w:div>
    <w:div w:id="2099593432">
      <w:bodyDiv w:val="1"/>
      <w:marLeft w:val="0"/>
      <w:marRight w:val="0"/>
      <w:marTop w:val="0"/>
      <w:marBottom w:val="0"/>
      <w:divBdr>
        <w:top w:val="none" w:sz="0" w:space="0" w:color="auto"/>
        <w:left w:val="none" w:sz="0" w:space="0" w:color="auto"/>
        <w:bottom w:val="none" w:sz="0" w:space="0" w:color="auto"/>
        <w:right w:val="none" w:sz="0" w:space="0" w:color="auto"/>
      </w:divBdr>
      <w:divsChild>
        <w:div w:id="463738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Id="rId8" Type="http://schemas.openxmlformats.org/officeDocument/2006/relationships/header" Target="header3.xml" /><Relationship Id="rId9" Type="http://schemas.openxmlformats.org/officeDocument/2006/relationships/header" Target="header5.xml" /><Relationship Id="rId10" Type="http://schemas.openxmlformats.org/officeDocument/2006/relationships/header" Target="header2.xml" /><Relationship Id="rId11" Type="http://schemas.openxmlformats.org/officeDocument/2006/relationships/header" Target="header7.xml" /><Relationship Id="rId12" Type="http://schemas.openxmlformats.org/officeDocument/2006/relationships/header" Target="header4.xml" /><Relationship Id="rId13" Type="http://schemas.openxmlformats.org/officeDocument/2006/relationships/header" Target="header6.xml" /><Relationship Id="rId14" Type="http://schemas.openxmlformats.org/officeDocument/2006/relationships/header" Target="header1.xml" /><Relationship Id="rId15" Type="http://schemas.openxmlformats.org/officeDocument/2006/relationships/footer" Target="footer5.xml" /><Relationship Id="rId16" Type="http://schemas.openxmlformats.org/officeDocument/2006/relationships/footer" Target="footer2.xml" /><Relationship Id="rId17" Type="http://schemas.openxmlformats.org/officeDocument/2006/relationships/footer" Target="footer4.xml" /><Relationship Id="rId18" Type="http://schemas.openxmlformats.org/officeDocument/2006/relationships/footer" Target="footer6.xml" /><Relationship Id="rId19" Type="http://schemas.openxmlformats.org/officeDocument/2006/relationships/footer" Target="footer1.xml" /><Relationship Id="rId20" Type="http://schemas.openxmlformats.org/officeDocument/2006/relationships/footer" Target="footer3.xml" /><Relationship Type="http://schemas.openxmlformats.org/officeDocument/2006/relationships/image" Id="rId21" Target="media/rId21.png" /><Relationship Type="http://schemas.openxmlformats.org/officeDocument/2006/relationships/image" Id="rId22" Target="media/rId22.png" /><Relationship Type="http://schemas.openxmlformats.org/officeDocument/2006/relationships/image" Id="rId23" Target="media/rId23.png" /><Relationship Type="http://schemas.openxmlformats.org/officeDocument/2006/relationships/image" Id="rId24" Target="media/rId24.png" /></Relationships>
</file>

<file path=word/_rels/footnotes.xml.rels><?xml version="1.0" encoding="UTF-8"?>
<Relationships xmlns="http://schemas.openxmlformats.org/package/2006/relationships" />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smszy.dot</Template>
  <TotalTime>20137</TotalTime>
  <Pages>15</Pages>
  <Words>1498</Words>
  <Characters>8543</Characters>
  <Application>Microsoft Office Word</Application>
  <DocSecurity>0</DocSecurity>
  <Lines>71</Lines>
  <Paragraphs>20</Paragraphs>
  <ScaleCrop>false</ScaleCrop>
  <Company>sipo</Company>
  <LinksUpToDate>false</LinksUpToDate>
  <CharactersWithSpaces>10021</CharactersWithSpaces>
  <SharedDoc>false</SharedDoc>
  <HLinks>
    <vt:vector size="12" baseType="variant">
      <vt:variant>
        <vt:i4>1245262</vt:i4>
      </vt:variant>
      <vt:variant>
        <vt:i4>3</vt:i4>
      </vt:variant>
      <vt:variant>
        <vt:i4>0</vt:i4>
      </vt:variant>
      <vt:variant>
        <vt:i4>5</vt:i4>
      </vt:variant>
      <vt:variant>
        <vt:lpwstr>http://baike.sogou.com/lemma/ShowInnerLink.htm?lemmaId=144163</vt:lpwstr>
      </vt:variant>
      <vt:variant>
        <vt:lpwstr/>
      </vt:variant>
      <vt:variant>
        <vt:i4>2031688</vt:i4>
      </vt:variant>
      <vt:variant>
        <vt:i4>0</vt:i4>
      </vt:variant>
      <vt:variant>
        <vt:i4>0</vt:i4>
      </vt:variant>
      <vt:variant>
        <vt:i4>5</vt:i4>
      </vt:variant>
      <vt:variant>
        <vt:lpwstr>http://baike.sogou.com/lemma/ShowInnerLink.htm?lemmaId=259642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2026-07-07T03:39:03Z</dcterms:created>
  <dcterms:modified xsi:type="dcterms:W3CDTF">2026-07-07T03:39:03Z</dcterms:modified>
</cp:coreProperties>
</file>