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2B61" w14:textId="77777777" w:rsidR="00017B7C" w:rsidRDefault="00000000">
      <w:pPr>
        <w:pStyle w:val="1"/>
      </w:pPr>
      <w:bookmarkStart w:id="0" w:name="端点溯源图日志和网络流联合的apt攻击链重构方法及装置"/>
      <w:bookmarkEnd w:id="0"/>
      <w:r>
        <w:t>端点溯源图日志和网络流联合的</w:t>
      </w:r>
      <w:r>
        <w:t>APT</w:t>
      </w:r>
      <w:r>
        <w:t>攻击链重构方法及装置</w:t>
      </w:r>
    </w:p>
    <w:p w14:paraId="42C411F6" w14:textId="77777777" w:rsidR="00017B7C" w:rsidRDefault="00000000">
      <w:pPr>
        <w:pStyle w:val="2"/>
      </w:pPr>
      <w:bookmarkStart w:id="1" w:name="技术领域"/>
      <w:bookmarkEnd w:id="1"/>
      <w:r>
        <w:t>技术领域</w:t>
      </w:r>
    </w:p>
    <w:p w14:paraId="76F1EF84" w14:textId="120F2122" w:rsidR="00017B7C" w:rsidRDefault="00000000">
      <w:r>
        <w:t>本发明涉及网络安全检测技术领域，尤其涉及一种端点溯源图日志和网络流联合的</w:t>
      </w:r>
      <w:r>
        <w:t>APT</w:t>
      </w:r>
      <w:r>
        <w:t>攻击链重构方法及装置。</w:t>
      </w:r>
    </w:p>
    <w:p w14:paraId="3A7EA366" w14:textId="77777777" w:rsidR="00017B7C" w:rsidRDefault="00000000">
      <w:pPr>
        <w:pStyle w:val="2"/>
      </w:pPr>
      <w:bookmarkStart w:id="2" w:name="背景技术"/>
      <w:bookmarkEnd w:id="2"/>
      <w:r>
        <w:t>背景技术</w:t>
      </w:r>
    </w:p>
    <w:p w14:paraId="274F510E" w14:textId="77777777" w:rsidR="00017B7C" w:rsidRDefault="00000000">
      <w:r>
        <w:t>随着企业网络规模扩大、终端类型增多以及业务访问链路复杂化，</w:t>
      </w:r>
      <w:r>
        <w:t>APT</w:t>
      </w:r>
      <w:r>
        <w:t>攻击往往不再表现为单一恶意文件或单条异常连接，而是跨越终端、账号、主机、域名和网络会话的连续行为过程。攻击者通常先通过钓鱼文档、远程服务或弱口令进入目标环境，随后执行脚本、创建进程、访问文件、建立外联连接，并进一步尝试横向移动或数据外传。因此，如何从大量端点日志和网络流中识别具有因果关系的攻击行为，已成为安全检测领域的重要课题。</w:t>
      </w:r>
    </w:p>
    <w:p w14:paraId="28E54720" w14:textId="77777777" w:rsidR="00017B7C" w:rsidRDefault="00000000">
      <w:pPr>
        <w:pStyle w:val="a9"/>
      </w:pPr>
      <w:r>
        <w:t>现有端点检测方法能够记录进程、文件、账号和系统调用关系，但对跨主机通信、远程连接和外联流量的解释能力不足；现有网络流检测方法能够发现异常会话、异常域名和异常流量模式，但难以说明具体由哪个本地进程或账号触发；现有日志关联方法依赖字段检索和人工规则，面对日志格式不一致、采集延迟和低频攻击时，容易形成断裂证据。鉴于此，亟需引入端点溯源图日志和网络流联合建模的检测方案来应对这一挑战。</w:t>
      </w:r>
    </w:p>
    <w:p w14:paraId="7EE66393" w14:textId="77777777" w:rsidR="00017B7C" w:rsidRDefault="00000000">
      <w:pPr>
        <w:pStyle w:val="a9"/>
      </w:pPr>
      <w:r>
        <w:t>在此背景下，多源安全数据融合虽已取得初步成效，但仍存在以下显著局限：多源事件缺少统一表示，跨源实体绑定不稳定，大规模溯源图中正常行为边过多，候选攻击路径搜索空间大，检测结果往往停留在异常点或告警集合，难以形成可复核的攻击链。</w:t>
      </w:r>
    </w:p>
    <w:p w14:paraId="6786ED25" w14:textId="77777777" w:rsidR="00017B7C" w:rsidRDefault="00000000">
      <w:pPr>
        <w:pStyle w:val="a9"/>
      </w:pPr>
      <w:r>
        <w:t>现有</w:t>
      </w:r>
      <w:r>
        <w:t>APT</w:t>
      </w:r>
      <w:r>
        <w:t>检测方法难以同时兼顾跨源关联、图规模压缩、链路风险评分和阶段化输出，导致未知或低频攻击行为容易被拆散为多个孤立告警。为解</w:t>
      </w:r>
      <w:r>
        <w:lastRenderedPageBreak/>
        <w:t>决上述问题，提出本发明。</w:t>
      </w:r>
    </w:p>
    <w:p w14:paraId="3E449043" w14:textId="77777777" w:rsidR="00017B7C" w:rsidRDefault="00000000">
      <w:pPr>
        <w:pStyle w:val="2"/>
      </w:pPr>
      <w:bookmarkStart w:id="3" w:name="发明内容"/>
      <w:bookmarkEnd w:id="3"/>
      <w:r>
        <w:t>发明内容</w:t>
      </w:r>
    </w:p>
    <w:p w14:paraId="675F42CA" w14:textId="77777777" w:rsidR="00017B7C" w:rsidRDefault="00000000">
      <w:r>
        <w:t>针对现有技术的不足，本发明提出了一种端点溯源图日志和网络流联合的</w:t>
      </w:r>
      <w:r>
        <w:t>APT</w:t>
      </w:r>
      <w:r>
        <w:t>攻击链重构方法及装置，该方法将端点行为事件、主机日志事件和网络流会话事件统一转换为标准事件对象，通过实体绑定、时序证据图构建、正常行为基线压缩、可疑种子筛选、阶段约束路径搜索和链路风险判定，实现对</w:t>
      </w:r>
      <w:r>
        <w:t>APT</w:t>
      </w:r>
      <w:r>
        <w:t>攻击链的检测与重构，并成功解决单源检测证据断裂、候选路径过多、图规模过大和检测结果缺少链路解释等关键问题。</w:t>
      </w:r>
    </w:p>
    <w:p w14:paraId="4C92212A" w14:textId="77777777" w:rsidR="00017B7C" w:rsidRDefault="00000000">
      <w:pPr>
        <w:pStyle w:val="a9"/>
      </w:pPr>
      <w:r>
        <w:t>术语解释：</w:t>
      </w:r>
    </w:p>
    <w:p w14:paraId="1D0F23AC" w14:textId="77777777" w:rsidR="00017B7C" w:rsidRDefault="00000000">
      <w:pPr>
        <w:pStyle w:val="a9"/>
      </w:pPr>
      <w:r>
        <w:t>端点溯源图日志，是指终端或服务器采集的进程创建、父子进程、命令行、文件读写、账号登录、服务创建、计划任务、</w:t>
      </w:r>
      <w:r>
        <w:t>Socket</w:t>
      </w:r>
      <w:r>
        <w:t>创建和系统调用等行为事件，以及由这些事件形成的本地主机因果关系日志。</w:t>
      </w:r>
    </w:p>
    <w:p w14:paraId="68D84809" w14:textId="77777777" w:rsidR="00017B7C" w:rsidRDefault="00000000">
      <w:pPr>
        <w:pStyle w:val="a9"/>
      </w:pPr>
      <w:r>
        <w:t>网络流，是指网络设备或流量探针记录的会话级通信数据，包括源地址、源端口、目的地址、目的端口、协议类型、开始时间、结束时间、持续时长、包数、字节数、方向、域名和证书摘要等字段。</w:t>
      </w:r>
    </w:p>
    <w:p w14:paraId="4C507735" w14:textId="77777777" w:rsidR="00017B7C" w:rsidRDefault="00000000">
      <w:pPr>
        <w:pStyle w:val="a9"/>
      </w:pPr>
      <w:r>
        <w:t>标准事件对象，是指将端点溯源图日志、主机日志和网络流转换后形成的统一数据对象，至少包括事件编号、事件时间、事件来源、主体实体、客体实体、动作类型、主机标识、账号标识、网络五元组、原始证据引用和事件质量标记。</w:t>
      </w:r>
    </w:p>
    <w:p w14:paraId="45FA0259" w14:textId="77777777" w:rsidR="00017B7C" w:rsidRDefault="00000000">
      <w:pPr>
        <w:pStyle w:val="a9"/>
      </w:pPr>
      <w:r>
        <w:t>统一时序证据图，是指以标准事件对象和统一实体为基础构建的异构图。图中的节点包括进程、文件、账号、主机、域名、</w:t>
      </w:r>
      <w:r>
        <w:t>IP</w:t>
      </w:r>
      <w:r>
        <w:t>地址、网络流会话和告警对象，图中的边包括创建、执行、读取、写入、登录、解析、连接、归属、同会话和因果依赖关系。</w:t>
      </w:r>
    </w:p>
    <w:p w14:paraId="2338DEDC" w14:textId="77777777" w:rsidR="00017B7C" w:rsidRDefault="00000000">
      <w:pPr>
        <w:pStyle w:val="a9"/>
      </w:pPr>
      <w:r>
        <w:t>攻击链检测结果，是指系统根据候选路径的链路风险分、阶段一致性、证据强度和时间连续性输出的检测结论，包括正常链路、可疑攻击链、已确</w:t>
      </w:r>
      <w:r>
        <w:lastRenderedPageBreak/>
        <w:t>认攻击链候选和证据不足链路。</w:t>
      </w:r>
    </w:p>
    <w:p w14:paraId="57CA5F2F" w14:textId="77777777" w:rsidR="00017B7C" w:rsidRDefault="00000000">
      <w:pPr>
        <w:pStyle w:val="a9"/>
      </w:pPr>
      <w:r>
        <w:t>如图</w:t>
      </w:r>
      <w:r>
        <w:t>1</w:t>
      </w:r>
      <w:r>
        <w:t>所示，本发明技术方案如下：</w:t>
      </w:r>
    </w:p>
    <w:p w14:paraId="09B26FEF" w14:textId="77777777" w:rsidR="00017B7C" w:rsidRDefault="00000000">
      <w:pPr>
        <w:pStyle w:val="a9"/>
      </w:pPr>
      <w:r>
        <w:t>1</w:t>
      </w:r>
      <w:r>
        <w:t>、多源数据输入与标准事件构造模块</w:t>
      </w:r>
    </w:p>
    <w:p w14:paraId="1D7CDFD8" w14:textId="77777777" w:rsidR="00017B7C" w:rsidRDefault="00000000">
      <w:pPr>
        <w:pStyle w:val="a9"/>
      </w:pPr>
      <w:r>
        <w:t>多源数据输入与标准事件构造模块先将端点溯源图日志、主机日志和网络流数据接入检测系统，随后对不同来源的字段进行解析、映射和单位统一，最后生成标准事件对象。通过该模块，系统构建了统一的数据输入基础，从而有效克服端点日志、网络流和主机日志字段异构、粒度不同、时间格式不一致的局限。</w:t>
      </w:r>
    </w:p>
    <w:p w14:paraId="5AA427E6" w14:textId="77777777" w:rsidR="00017B7C" w:rsidRDefault="00000000">
      <w:pPr>
        <w:pStyle w:val="a9"/>
      </w:pPr>
      <w:r>
        <w:t xml:space="preserve">① </w:t>
      </w:r>
      <w:r>
        <w:t>多源数据接入。</w:t>
      </w:r>
    </w:p>
    <w:p w14:paraId="669B98DD" w14:textId="77777777" w:rsidR="00017B7C" w:rsidRDefault="00000000">
      <w:pPr>
        <w:pStyle w:val="a9"/>
      </w:pPr>
      <w:r>
        <w:t>本阶段主要任务是接收与</w:t>
      </w:r>
      <w:r>
        <w:t>APT</w:t>
      </w:r>
      <w:r>
        <w:t>检测相关的原始事件，主要包括：端点侧的进程创建、父子进程、命令行、文件访问、账号登录、</w:t>
      </w:r>
      <w:r>
        <w:t>Socket</w:t>
      </w:r>
      <w:r>
        <w:t>创建、服务启动和计划任务事件；主机侧的系统日志、认证日志、应用日志和安全告警；网络侧的五元组流、</w:t>
      </w:r>
      <w:r>
        <w:t>DNS</w:t>
      </w:r>
      <w:r>
        <w:t>解析记录、</w:t>
      </w:r>
      <w:r>
        <w:t>TLS</w:t>
      </w:r>
      <w:r>
        <w:t>会话摘要、</w:t>
      </w:r>
      <w:r>
        <w:t>HTTP</w:t>
      </w:r>
      <w:r>
        <w:t>元数据和加密流量统计特征。</w:t>
      </w:r>
    </w:p>
    <w:p w14:paraId="7A444F37" w14:textId="77777777" w:rsidR="00017B7C" w:rsidRDefault="00000000">
      <w:pPr>
        <w:pStyle w:val="a9"/>
      </w:pPr>
      <w:r>
        <w:t xml:space="preserve">② </w:t>
      </w:r>
      <w:r>
        <w:t>字段解析与映射。</w:t>
      </w:r>
    </w:p>
    <w:p w14:paraId="299FF7A1" w14:textId="77777777" w:rsidR="00017B7C" w:rsidRDefault="00000000">
      <w:pPr>
        <w:pStyle w:val="a9"/>
      </w:pPr>
      <w:r>
        <w:t>本阶段将不同数据源中的字段映射为标准字段。</w:t>
      </w:r>
    </w:p>
    <w:p w14:paraId="78EB9EB2" w14:textId="77777777" w:rsidR="00017B7C" w:rsidRDefault="00000000">
      <w:pPr>
        <w:pStyle w:val="a9"/>
      </w:pPr>
      <w:r>
        <w:t>第一步，建立字段映射表。字段映射表至少包括来源类型、来源字段名、目标字段名、字段类型、转换函数、缺失处理方式和字段可信等级。</w:t>
      </w:r>
    </w:p>
    <w:p w14:paraId="0234103F" w14:textId="77777777" w:rsidR="00017B7C" w:rsidRDefault="00000000">
      <w:pPr>
        <w:pStyle w:val="a9"/>
      </w:pPr>
      <w:r>
        <w:t>首先，对于端点日志中的</w:t>
      </w:r>
      <w:r>
        <w:t>process_id</w:t>
      </w:r>
      <w:r>
        <w:t>、</w:t>
      </w:r>
      <w:r>
        <w:t>parent_process_id</w:t>
      </w:r>
      <w:r>
        <w:t>、</w:t>
      </w:r>
      <w:r>
        <w:t>command_line</w:t>
      </w:r>
      <w:r>
        <w:t>、</w:t>
      </w:r>
      <w:r>
        <w:t>file_path</w:t>
      </w:r>
      <w:r>
        <w:t>等字段，映射为进程标识、父进程标识、命令行和文件路径。随后，对于网络流中的</w:t>
      </w:r>
      <w:r>
        <w:t>src_ip</w:t>
      </w:r>
      <w:r>
        <w:t>、</w:t>
      </w:r>
      <w:r>
        <w:t>dst_ip</w:t>
      </w:r>
      <w:r>
        <w:t>、</w:t>
      </w:r>
      <w:r>
        <w:t>src_port</w:t>
      </w:r>
      <w:r>
        <w:t>、</w:t>
      </w:r>
      <w:r>
        <w:t>dst_port</w:t>
      </w:r>
      <w:r>
        <w:t>、</w:t>
      </w:r>
      <w:r>
        <w:t>protocol</w:t>
      </w:r>
      <w:r>
        <w:t>、</w:t>
      </w:r>
      <w:r>
        <w:t>bytes</w:t>
      </w:r>
      <w:r>
        <w:t>、</w:t>
      </w:r>
      <w:r>
        <w:t>packets</w:t>
      </w:r>
      <w:r>
        <w:t>等字段，映射为源地址、目的地址、源端口、目的端口、协议、字节数和包数。这一步骤能够使不同系统产生的数据进入同一检测流程。</w:t>
      </w:r>
    </w:p>
    <w:p w14:paraId="226004D9" w14:textId="77777777" w:rsidR="00017B7C" w:rsidRDefault="00000000">
      <w:pPr>
        <w:pStyle w:val="a9"/>
      </w:pPr>
      <w:r>
        <w:lastRenderedPageBreak/>
        <w:t>第二步，执行动作类型归一。</w:t>
      </w:r>
    </w:p>
    <w:p w14:paraId="58A6C902" w14:textId="77777777" w:rsidR="00017B7C" w:rsidRDefault="00000000">
      <w:pPr>
        <w:pStyle w:val="a9"/>
      </w:pPr>
      <w:r>
        <w:t>首先，将</w:t>
      </w:r>
      <w:r>
        <w:t>“process_create”“exec”“</w:t>
      </w:r>
      <w:r>
        <w:t>启动进程</w:t>
      </w:r>
      <w:r>
        <w:t>”</w:t>
      </w:r>
      <w:r>
        <w:t>等动作归一为</w:t>
      </w:r>
      <w:r>
        <w:t>“</w:t>
      </w:r>
      <w:r>
        <w:t>执行</w:t>
      </w:r>
      <w:r>
        <w:t>”</w:t>
      </w:r>
      <w:r>
        <w:t>；将</w:t>
      </w:r>
      <w:r>
        <w:t>“file_write”“create_file”“</w:t>
      </w:r>
      <w:r>
        <w:t>写文件</w:t>
      </w:r>
      <w:r>
        <w:t>”</w:t>
      </w:r>
      <w:r>
        <w:t>等动作归一为</w:t>
      </w:r>
      <w:r>
        <w:t>“</w:t>
      </w:r>
      <w:r>
        <w:t>写入</w:t>
      </w:r>
      <w:r>
        <w:t>”</w:t>
      </w:r>
      <w:r>
        <w:t>；将</w:t>
      </w:r>
      <w:r>
        <w:t>“connect”“flow_start”“</w:t>
      </w:r>
      <w:r>
        <w:t>外联会话</w:t>
      </w:r>
      <w:r>
        <w:t>”</w:t>
      </w:r>
      <w:r>
        <w:t>等动作归一为</w:t>
      </w:r>
      <w:r>
        <w:t>“</w:t>
      </w:r>
      <w:r>
        <w:t>连接</w:t>
      </w:r>
      <w:r>
        <w:t>”</w:t>
      </w:r>
      <w:r>
        <w:t>。随后，将归一后的动作类型写入标准事件对象。这一步骤能够使后续图构建不依赖某个采集器的专有动作名称。</w:t>
      </w:r>
    </w:p>
    <w:p w14:paraId="117A29D8" w14:textId="77777777" w:rsidR="00017B7C" w:rsidRDefault="00000000">
      <w:pPr>
        <w:pStyle w:val="a9"/>
      </w:pPr>
      <w:r>
        <w:t>第三步，保留原始证据引用。</w:t>
      </w:r>
    </w:p>
    <w:p w14:paraId="16A40E53" w14:textId="77777777" w:rsidR="00017B7C" w:rsidRDefault="00000000">
      <w:pPr>
        <w:pStyle w:val="a9"/>
      </w:pPr>
      <w:r>
        <w:t>首先，系统在标准事件对象中记录原始日志编号、原始时间戳、采集通道和原始字段摘要。随后，将该引用与后续图节点、图边和检测结果绑定。这一步骤能够保证每一个检测结论都可以回溯到原始事件。</w:t>
      </w:r>
    </w:p>
    <w:p w14:paraId="2EC64B3D" w14:textId="77777777" w:rsidR="00017B7C" w:rsidRDefault="00000000">
      <w:pPr>
        <w:pStyle w:val="a9"/>
      </w:pPr>
      <w:r>
        <w:t xml:space="preserve">③ </w:t>
      </w:r>
      <w:r>
        <w:t>时间对齐。</w:t>
      </w:r>
    </w:p>
    <w:p w14:paraId="084128C6" w14:textId="77777777" w:rsidR="00017B7C" w:rsidRDefault="00000000">
      <w:pPr>
        <w:pStyle w:val="a9"/>
      </w:pPr>
      <w:r>
        <w:t>本阶段用于处理多源事件的时间偏差。对于同一主机、同一账号或同一网络会话内具有明显先后关系的事件，系统估计不同数据源之间的时间偏移量。若端点事件时间为</w:t>
      </w:r>
      <m:oMath>
        <m:sSub>
          <m:sSubPr>
            <m:ctrlPr>
              <w:rPr>
                <w:rFonts w:ascii="Cambria Math" w:hAnsi="Cambria Math"/>
              </w:rPr>
            </m:ctrlPr>
          </m:sSubPr>
          <m:e>
            <m:r>
              <w:rPr>
                <w:rFonts w:ascii="Cambria Math" w:hAnsi="Cambria Math"/>
              </w:rPr>
              <m:t>t</m:t>
            </m:r>
          </m:e>
          <m:sub>
            <m:r>
              <w:rPr>
                <w:rFonts w:ascii="Cambria Math" w:hAnsi="Cambria Math"/>
              </w:rPr>
              <m:t>h</m:t>
            </m:r>
          </m:sub>
        </m:sSub>
      </m:oMath>
      <w:r>
        <w:t>，网络流事件时间为</w:t>
      </w:r>
      <m:oMath>
        <m:sSub>
          <m:sSubPr>
            <m:ctrlPr>
              <w:rPr>
                <w:rFonts w:ascii="Cambria Math" w:hAnsi="Cambria Math"/>
              </w:rPr>
            </m:ctrlPr>
          </m:sSubPr>
          <m:e>
            <m:r>
              <w:rPr>
                <w:rFonts w:ascii="Cambria Math" w:hAnsi="Cambria Math"/>
              </w:rPr>
              <m:t>t</m:t>
            </m:r>
          </m:e>
          <m:sub>
            <m:r>
              <w:rPr>
                <w:rFonts w:ascii="Cambria Math" w:hAnsi="Cambria Math"/>
              </w:rPr>
              <m:t>f</m:t>
            </m:r>
          </m:sub>
        </m:sSub>
      </m:oMath>
      <w:r>
        <w:t>，二者被判定为同一连接行为，则可估计偏移量：</w:t>
      </w:r>
    </w:p>
    <w:p w14:paraId="46C5DD97" w14:textId="77777777" w:rsidR="00017B7C" w:rsidRDefault="00000000">
      <w:pPr>
        <w:pStyle w:val="a9"/>
      </w:pPr>
      <m:oMathPara>
        <m:oMathParaPr>
          <m:jc m:val="center"/>
        </m:oMathParaPr>
        <m:oMath>
          <m:r>
            <w:rPr>
              <w:rFonts w:ascii="Cambria Math" w:hAnsi="Cambria Math"/>
            </w:rPr>
            <m:t>Δt=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m:t>
              </m:r>
            </m:sub>
          </m:sSub>
        </m:oMath>
      </m:oMathPara>
    </w:p>
    <w:p w14:paraId="2FD2C365" w14:textId="77777777" w:rsidR="00017B7C" w:rsidRDefault="00000000">
      <w:r>
        <w:t>对于同一来源在多个匹配样本上的偏移量，系统采用中位数或滑动平均值作为该来源的时间修正值。若偏移量稳定，则对后续事件进行时间校正；若偏移量不稳定，则只记录时间不确定性标记，不强制调整原始时间。通过该步骤，系统能够降低时间漂移对路径搜索的影响。</w:t>
      </w:r>
    </w:p>
    <w:p w14:paraId="439ED5DA" w14:textId="77777777" w:rsidR="00017B7C" w:rsidRDefault="00000000">
      <w:pPr>
        <w:pStyle w:val="a9"/>
      </w:pPr>
      <w:r>
        <w:t>通过上述流程，本模块不仅实现了多源数据的统一接入，还通过标准事件对象为后续算法提供了可计算、可追溯和可扩展的输入。</w:t>
      </w:r>
    </w:p>
    <w:p w14:paraId="3F7EF612" w14:textId="77777777" w:rsidR="00017B7C" w:rsidRDefault="00000000">
      <w:pPr>
        <w:pStyle w:val="a9"/>
      </w:pPr>
      <w:r>
        <w:t>2</w:t>
      </w:r>
      <w:r>
        <w:t>、跨源实体绑定与置信度计算模块</w:t>
      </w:r>
    </w:p>
    <w:p w14:paraId="04B2DD45" w14:textId="77777777" w:rsidR="00017B7C" w:rsidRDefault="00000000">
      <w:pPr>
        <w:pStyle w:val="a9"/>
      </w:pPr>
      <w:r>
        <w:t>跨源实体绑定与置信度计算模块先从标准事件对象中抽取进程、文件、账号、主机、域名、</w:t>
      </w:r>
      <w:r>
        <w:t>IP</w:t>
      </w:r>
      <w:r>
        <w:t>地址、</w:t>
      </w:r>
      <w:r>
        <w:t>Socket</w:t>
      </w:r>
      <w:r>
        <w:t>和网络流会话等实体，随后生成候选绑</w:t>
      </w:r>
      <w:r>
        <w:lastRenderedPageBreak/>
        <w:t>定关系，最后根据精确标识、时间邻近、资产上下文和网络会话一致性计算绑定置信度。通过该模块，端点侧的进程行为与网络侧的流会话能够在检测图中连接，从而有效克服单源检测只能看到局部证据的局限。</w:t>
      </w:r>
    </w:p>
    <w:p w14:paraId="5CDF538A" w14:textId="77777777" w:rsidR="00017B7C" w:rsidRDefault="00000000">
      <w:pPr>
        <w:pStyle w:val="a9"/>
      </w:pPr>
      <w:r>
        <w:t xml:space="preserve">① </w:t>
      </w:r>
      <w:r>
        <w:t>实体抽取。</w:t>
      </w:r>
    </w:p>
    <w:p w14:paraId="7E94CD2A" w14:textId="77777777" w:rsidR="00017B7C" w:rsidRDefault="00000000">
      <w:pPr>
        <w:pStyle w:val="a9"/>
      </w:pPr>
      <w:r>
        <w:t>本阶段主要任务是将标准事件对象中的关键字段转化为实体。实体类型至少包括主机实体、账号实体、进程实体、文件实体、域名实体、</w:t>
      </w:r>
      <w:r>
        <w:t>IP</w:t>
      </w:r>
      <w:r>
        <w:t>实体、网络流实体和告警实体。对于进程实体，系统记录进程标识、父进程标识、进程名、命令行、启动时间和所属主机；对于网络流实体，系统记录五元组、方向、开始时间、结束时间、字节数、包数和关联域名；对于账号实体，系统记录账号名、账号域、登录主机和权限类型。</w:t>
      </w:r>
    </w:p>
    <w:p w14:paraId="2D8FC403" w14:textId="77777777" w:rsidR="00017B7C" w:rsidRDefault="00000000">
      <w:pPr>
        <w:pStyle w:val="a9"/>
      </w:pPr>
      <w:r>
        <w:t xml:space="preserve">② </w:t>
      </w:r>
      <w:r>
        <w:t>候选绑定生成。</w:t>
      </w:r>
    </w:p>
    <w:p w14:paraId="7F5F7563" w14:textId="77777777" w:rsidR="00017B7C" w:rsidRDefault="00000000">
      <w:pPr>
        <w:pStyle w:val="a9"/>
      </w:pPr>
      <w:r>
        <w:t>本阶段根据不同实体的特征生成候选绑定关系。</w:t>
      </w:r>
    </w:p>
    <w:p w14:paraId="0C27500D" w14:textId="77777777" w:rsidR="00017B7C" w:rsidRDefault="00000000">
      <w:pPr>
        <w:pStyle w:val="a9"/>
      </w:pPr>
      <w:r>
        <w:t>第一步，执行精确标识匹配。对于主机编号、账号</w:t>
      </w:r>
      <w:r>
        <w:t>SID</w:t>
      </w:r>
      <w:r>
        <w:t>、文件哈希、证书指纹、进程启动时间和会话编号等能够唯一或近似唯一标识实体的字段，系统直接生成高置信候选绑定。</w:t>
      </w:r>
    </w:p>
    <w:p w14:paraId="5B36CA94" w14:textId="77777777" w:rsidR="00017B7C" w:rsidRDefault="00000000">
      <w:pPr>
        <w:pStyle w:val="a9"/>
      </w:pPr>
      <w:r>
        <w:t>第二步，执行网络会话匹配。对于端点侧</w:t>
      </w:r>
      <w:r>
        <w:t>Socket</w:t>
      </w:r>
      <w:r>
        <w:t>事件和网络侧流会话事件，系统根据源地址、源端口、目的地址、目的端口、协议和时间窗口生成候选绑定。若端点事件显示某进程创建本地连接，同时网络流中出现相同五元组，则该网络流会话被列为该进程的候选外联证据。</w:t>
      </w:r>
    </w:p>
    <w:p w14:paraId="60067105" w14:textId="77777777" w:rsidR="00017B7C" w:rsidRDefault="00000000">
      <w:pPr>
        <w:pStyle w:val="a9"/>
      </w:pPr>
      <w:r>
        <w:t>第三步，执行上下文匹配。对于缺少精确标识的实体，系统根据主机归属、账号权限、域名解析、进程父子链和时间邻近关系生成候选绑定。例如某域名解析事件与随后的外联流会话时间相近且主机一致，则该域名与流会话可建立候选关联。</w:t>
      </w:r>
    </w:p>
    <w:p w14:paraId="722AC42D" w14:textId="77777777" w:rsidR="00017B7C" w:rsidRDefault="00000000">
      <w:pPr>
        <w:pStyle w:val="a9"/>
      </w:pPr>
      <w:r>
        <w:lastRenderedPageBreak/>
        <w:t xml:space="preserve">③ </w:t>
      </w:r>
      <w:r>
        <w:t>绑定置信度计算。</w:t>
      </w:r>
    </w:p>
    <w:p w14:paraId="6DB4D9BF" w14:textId="77777777" w:rsidR="00017B7C" w:rsidRDefault="00000000">
      <w:pPr>
        <w:pStyle w:val="a9"/>
      </w:pPr>
      <w:r>
        <w:t>本阶段对候选绑定关系进行评分。实体绑定置信度可表示为：</w:t>
      </w:r>
    </w:p>
    <w:p w14:paraId="4E1267B3" w14:textId="77777777" w:rsidR="00017B7C" w:rsidRDefault="00000000">
      <w:pPr>
        <w:pStyle w:val="a9"/>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bind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id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time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I</m:t>
              </m:r>
            </m:e>
            <m:sub>
              <m:r>
                <w:rPr>
                  <w:rFonts w:ascii="Cambria Math" w:hAnsi="Cambria Math"/>
                </w:rPr>
                <m:t>host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r>
                <w:rPr>
                  <w:rFonts w:ascii="Cambria Math" w:hAnsi="Cambria Math"/>
                </w:rPr>
                <m:t>I</m:t>
              </m:r>
            </m:e>
            <m:sub>
              <m:r>
                <w:rPr>
                  <w:rFonts w:ascii="Cambria Math" w:hAnsi="Cambria Math"/>
                </w:rPr>
                <m:t>flow</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sSub>
            <m:sSubPr>
              <m:ctrlPr>
                <w:rPr>
                  <w:rFonts w:ascii="Cambria Math" w:hAnsi="Cambria Math"/>
                </w:rPr>
              </m:ctrlPr>
            </m:sSubPr>
            <m:e>
              <m:r>
                <w:rPr>
                  <w:rFonts w:ascii="Cambria Math" w:hAnsi="Cambria Math"/>
                </w:rPr>
                <m:t>I</m:t>
              </m:r>
            </m:e>
            <m:sub>
              <m:r>
                <w:rPr>
                  <w:rFonts w:ascii="Cambria Math" w:hAnsi="Cambria Math"/>
                </w:rPr>
                <m:t>ctx</m:t>
              </m:r>
            </m:sub>
          </m:sSub>
        </m:oMath>
      </m:oMathPara>
    </w:p>
    <w:p w14:paraId="33212CD9" w14:textId="77777777" w:rsidR="00017B7C" w:rsidRDefault="00000000">
      <w:r>
        <w:t>其中，</w:t>
      </w:r>
      <m:oMath>
        <m:sSub>
          <m:sSubPr>
            <m:ctrlPr>
              <w:rPr>
                <w:rFonts w:ascii="Cambria Math" w:hAnsi="Cambria Math"/>
              </w:rPr>
            </m:ctrlPr>
          </m:sSubPr>
          <m:e>
            <m:r>
              <w:rPr>
                <w:rFonts w:ascii="Cambria Math" w:hAnsi="Cambria Math"/>
              </w:rPr>
              <m:t>I</m:t>
            </m:r>
          </m:e>
          <m:sub>
            <m:r>
              <w:rPr>
                <w:rFonts w:ascii="Cambria Math" w:hAnsi="Cambria Math"/>
              </w:rPr>
              <m:t>id</m:t>
            </m:r>
          </m:sub>
        </m:sSub>
      </m:oMath>
      <w:r>
        <w:t>表示精确标识匹配得分，</w:t>
      </w:r>
      <m:oMath>
        <m:sSub>
          <m:sSubPr>
            <m:ctrlPr>
              <w:rPr>
                <w:rFonts w:ascii="Cambria Math" w:hAnsi="Cambria Math"/>
              </w:rPr>
            </m:ctrlPr>
          </m:sSubPr>
          <m:e>
            <m:r>
              <w:rPr>
                <w:rFonts w:ascii="Cambria Math" w:hAnsi="Cambria Math"/>
              </w:rPr>
              <m:t>I</m:t>
            </m:r>
          </m:e>
          <m:sub>
            <m:r>
              <w:rPr>
                <w:rFonts w:ascii="Cambria Math" w:hAnsi="Cambria Math"/>
              </w:rPr>
              <m:t>time</m:t>
            </m:r>
          </m:sub>
        </m:sSub>
      </m:oMath>
      <w:r>
        <w:t>表示时间邻近得分，</w:t>
      </w:r>
      <m:oMath>
        <m:sSub>
          <m:sSubPr>
            <m:ctrlPr>
              <w:rPr>
                <w:rFonts w:ascii="Cambria Math" w:hAnsi="Cambria Math"/>
              </w:rPr>
            </m:ctrlPr>
          </m:sSubPr>
          <m:e>
            <m:r>
              <w:rPr>
                <w:rFonts w:ascii="Cambria Math" w:hAnsi="Cambria Math"/>
              </w:rPr>
              <m:t>I</m:t>
            </m:r>
          </m:e>
          <m:sub>
            <m:r>
              <w:rPr>
                <w:rFonts w:ascii="Cambria Math" w:hAnsi="Cambria Math"/>
              </w:rPr>
              <m:t>host</m:t>
            </m:r>
          </m:sub>
        </m:sSub>
      </m:oMath>
      <w:r>
        <w:t>表示主机或资产一致性得分，</w:t>
      </w:r>
      <m:oMath>
        <m:sSub>
          <m:sSubPr>
            <m:ctrlPr>
              <w:rPr>
                <w:rFonts w:ascii="Cambria Math" w:hAnsi="Cambria Math"/>
              </w:rPr>
            </m:ctrlPr>
          </m:sSubPr>
          <m:e>
            <m:r>
              <w:rPr>
                <w:rFonts w:ascii="Cambria Math" w:hAnsi="Cambria Math"/>
              </w:rPr>
              <m:t>I</m:t>
            </m:r>
          </m:e>
          <m:sub>
            <m:r>
              <w:rPr>
                <w:rFonts w:ascii="Cambria Math" w:hAnsi="Cambria Math"/>
              </w:rPr>
              <m:t>flow</m:t>
            </m:r>
          </m:sub>
        </m:sSub>
      </m:oMath>
      <w:r>
        <w:t>表示五元组或</w:t>
      </w:r>
      <w:r>
        <w:t>Socket</w:t>
      </w:r>
      <w:r>
        <w:t>一致性得分，</w:t>
      </w:r>
      <m:oMath>
        <m:sSub>
          <m:sSubPr>
            <m:ctrlPr>
              <w:rPr>
                <w:rFonts w:ascii="Cambria Math" w:hAnsi="Cambria Math"/>
              </w:rPr>
            </m:ctrlPr>
          </m:sSubPr>
          <m:e>
            <m:r>
              <w:rPr>
                <w:rFonts w:ascii="Cambria Math" w:hAnsi="Cambria Math"/>
              </w:rPr>
              <m:t>I</m:t>
            </m:r>
          </m:e>
          <m:sub>
            <m:r>
              <w:rPr>
                <w:rFonts w:ascii="Cambria Math" w:hAnsi="Cambria Math"/>
              </w:rPr>
              <m:t>ctx</m:t>
            </m:r>
          </m:sub>
        </m:sSub>
      </m:oMath>
      <w:r>
        <w:t>表示进程、账号、域名和父子链上下文一致性得分，</w:t>
      </w:r>
      <m:oMath>
        <m:sSub>
          <m:sSubPr>
            <m:ctrlPr>
              <w:rPr>
                <w:rFonts w:ascii="Cambria Math" w:hAnsi="Cambria Math"/>
              </w:rPr>
            </m:ctrlPr>
          </m:sSubPr>
          <m:e>
            <m:r>
              <w:rPr>
                <w:rFonts w:ascii="Cambria Math" w:hAnsi="Cambria Math"/>
              </w:rPr>
              <m:t>w</m:t>
            </m:r>
          </m:e>
          <m:sub>
            <m:r>
              <w:rPr>
                <w:rFonts w:ascii="Cambria Math" w:hAnsi="Cambria Math"/>
              </w:rPr>
              <m:t>1</m:t>
            </m:r>
          </m:sub>
        </m:sSub>
      </m:oMath>
      <w:r>
        <w:t>至</w:t>
      </w:r>
      <m:oMath>
        <m:sSub>
          <m:sSubPr>
            <m:ctrlPr>
              <w:rPr>
                <w:rFonts w:ascii="Cambria Math" w:hAnsi="Cambria Math"/>
              </w:rPr>
            </m:ctrlPr>
          </m:sSubPr>
          <m:e>
            <m:r>
              <w:rPr>
                <w:rFonts w:ascii="Cambria Math" w:hAnsi="Cambria Math"/>
              </w:rPr>
              <m:t>w</m:t>
            </m:r>
          </m:e>
          <m:sub>
            <m:r>
              <w:rPr>
                <w:rFonts w:ascii="Cambria Math" w:hAnsi="Cambria Math"/>
              </w:rPr>
              <m:t>5</m:t>
            </m:r>
          </m:sub>
        </m:sSub>
      </m:oMath>
      <w:r>
        <w:t>为权重参数。</w:t>
      </w:r>
    </w:p>
    <w:p w14:paraId="1AC24D1D" w14:textId="77777777" w:rsidR="00017B7C" w:rsidRDefault="00000000">
      <w:pPr>
        <w:pStyle w:val="a9"/>
      </w:pPr>
      <w:r>
        <w:t>若</w:t>
      </w:r>
      <m:oMath>
        <m:sSub>
          <m:sSubPr>
            <m:ctrlPr>
              <w:rPr>
                <w:rFonts w:ascii="Cambria Math" w:hAnsi="Cambria Math"/>
              </w:rPr>
            </m:ctrlPr>
          </m:sSubPr>
          <m:e>
            <m:r>
              <w:rPr>
                <w:rFonts w:ascii="Cambria Math" w:hAnsi="Cambria Math"/>
              </w:rPr>
              <m:t>C</m:t>
            </m:r>
          </m:e>
          <m:sub>
            <m:r>
              <w:rPr>
                <w:rFonts w:ascii="Cambria Math" w:hAnsi="Cambria Math"/>
              </w:rPr>
              <m:t>bind</m:t>
            </m:r>
          </m:sub>
        </m:sSub>
      </m:oMath>
      <w:r>
        <w:t>大于实体绑定阈值</w:t>
      </w:r>
      <m:oMath>
        <m:sSub>
          <m:sSubPr>
            <m:ctrlPr>
              <w:rPr>
                <w:rFonts w:ascii="Cambria Math" w:hAnsi="Cambria Math"/>
              </w:rPr>
            </m:ctrlPr>
          </m:sSubPr>
          <m:e>
            <m:r>
              <w:rPr>
                <w:rFonts w:ascii="Cambria Math" w:hAnsi="Cambria Math"/>
              </w:rPr>
              <m:t>τ</m:t>
            </m:r>
          </m:e>
          <m:sub>
            <m:r>
              <w:rPr>
                <w:rFonts w:ascii="Cambria Math" w:hAnsi="Cambria Math"/>
              </w:rPr>
              <m:t>bind</m:t>
            </m:r>
          </m:sub>
        </m:sSub>
      </m:oMath>
      <w:r>
        <w:t>，则系统将候选实体合并为统一实体；若</w:t>
      </w:r>
      <m:oMath>
        <m:sSub>
          <m:sSubPr>
            <m:ctrlPr>
              <w:rPr>
                <w:rFonts w:ascii="Cambria Math" w:hAnsi="Cambria Math"/>
              </w:rPr>
            </m:ctrlPr>
          </m:sSubPr>
          <m:e>
            <m:r>
              <w:rPr>
                <w:rFonts w:ascii="Cambria Math" w:hAnsi="Cambria Math"/>
              </w:rPr>
              <m:t>C</m:t>
            </m:r>
          </m:e>
          <m:sub>
            <m:r>
              <w:rPr>
                <w:rFonts w:ascii="Cambria Math" w:hAnsi="Cambria Math"/>
              </w:rPr>
              <m:t>bind</m:t>
            </m:r>
          </m:sub>
        </m:sSub>
      </m:oMath>
      <w:r>
        <w:t>处于候选区间，则保留多个候选实体版本；若</w:t>
      </w:r>
      <m:oMath>
        <m:sSub>
          <m:sSubPr>
            <m:ctrlPr>
              <w:rPr>
                <w:rFonts w:ascii="Cambria Math" w:hAnsi="Cambria Math"/>
              </w:rPr>
            </m:ctrlPr>
          </m:sSubPr>
          <m:e>
            <m:r>
              <w:rPr>
                <w:rFonts w:ascii="Cambria Math" w:hAnsi="Cambria Math"/>
              </w:rPr>
              <m:t>C</m:t>
            </m:r>
          </m:e>
          <m:sub>
            <m:r>
              <w:rPr>
                <w:rFonts w:ascii="Cambria Math" w:hAnsi="Cambria Math"/>
              </w:rPr>
              <m:t>bind</m:t>
            </m:r>
          </m:sub>
        </m:sSub>
      </m:oMath>
      <w:r>
        <w:t>低于候选阈值，则不进行绑定。通过这种方式，系统既避免漏掉跨源关联，又避免低置信证据被强制合并。</w:t>
      </w:r>
    </w:p>
    <w:p w14:paraId="2B150191" w14:textId="77777777" w:rsidR="00017B7C" w:rsidRDefault="00000000">
      <w:pPr>
        <w:pStyle w:val="a9"/>
      </w:pPr>
      <w:r>
        <w:t>3</w:t>
      </w:r>
      <w:r>
        <w:t>、统一时序证据图构建模块</w:t>
      </w:r>
    </w:p>
    <w:p w14:paraId="5FE9DBB6" w14:textId="77777777" w:rsidR="00017B7C" w:rsidRDefault="00000000">
      <w:pPr>
        <w:pStyle w:val="a9"/>
      </w:pPr>
      <w:r>
        <w:t>统一时序证据图构建模块先根据统一实体创建节点，随后根据标准事件对象创建边，最后以时间窗口为单位维护增量图。通过该模块，系统构建了可用于检测算法运行的时序异构图，从而有效克服孤立日志事件难以表达攻击因果关系的局限。</w:t>
      </w:r>
    </w:p>
    <w:p w14:paraId="299EAC43" w14:textId="77777777" w:rsidR="00017B7C" w:rsidRDefault="00000000">
      <w:pPr>
        <w:pStyle w:val="a9"/>
      </w:pPr>
      <w:r>
        <w:t xml:space="preserve">① </w:t>
      </w:r>
      <w:r>
        <w:t>图节点构建。</w:t>
      </w:r>
    </w:p>
    <w:p w14:paraId="47434355" w14:textId="77777777" w:rsidR="00017B7C" w:rsidRDefault="00000000">
      <w:pPr>
        <w:pStyle w:val="a9"/>
      </w:pPr>
      <w:r>
        <w:t>本阶段为不同实体生成图节点。节点属性至少包括节点编号、节点类型、所属主机、实体名称、首次出现时间、最近出现时间、来源列表、风险标签和统计特征。进程节点记录进程名、命令行、父进程、启动路径和启动用户；文件节点记录文件路径、哈希、大小和写入进程；账号节点记录账号名、登录主机和权限类型；流会话节点记录五元组、持续时长、包数字节数和方向。</w:t>
      </w:r>
    </w:p>
    <w:p w14:paraId="7A7AE82C" w14:textId="77777777" w:rsidR="00017B7C" w:rsidRDefault="00000000">
      <w:pPr>
        <w:pStyle w:val="a9"/>
      </w:pPr>
      <w:r>
        <w:t xml:space="preserve">② </w:t>
      </w:r>
      <w:r>
        <w:t>图边构建。</w:t>
      </w:r>
    </w:p>
    <w:p w14:paraId="5829C716" w14:textId="77777777" w:rsidR="00017B7C" w:rsidRDefault="00000000">
      <w:pPr>
        <w:pStyle w:val="a9"/>
      </w:pPr>
      <w:r>
        <w:t>本阶段为事件生成图边。</w:t>
      </w:r>
    </w:p>
    <w:p w14:paraId="55C76E6F" w14:textId="77777777" w:rsidR="00017B7C" w:rsidRDefault="00000000">
      <w:pPr>
        <w:pStyle w:val="a9"/>
      </w:pPr>
      <w:r>
        <w:lastRenderedPageBreak/>
        <w:t>第一步，根据动作类型创建直接事件边。例如进程创建子进程形成</w:t>
      </w:r>
      <w:r>
        <w:t>“</w:t>
      </w:r>
      <w:r>
        <w:t>创建</w:t>
      </w:r>
      <w:r>
        <w:t>”</w:t>
      </w:r>
      <w:r>
        <w:t>边，进程写入文件形成</w:t>
      </w:r>
      <w:r>
        <w:t>“</w:t>
      </w:r>
      <w:r>
        <w:t>写入</w:t>
      </w:r>
      <w:r>
        <w:t>”</w:t>
      </w:r>
      <w:r>
        <w:t>边，账号登录主机形成</w:t>
      </w:r>
      <w:r>
        <w:t>“</w:t>
      </w:r>
      <w:r>
        <w:t>登录</w:t>
      </w:r>
      <w:r>
        <w:t>”</w:t>
      </w:r>
      <w:r>
        <w:t>边，主机访问域名形成</w:t>
      </w:r>
      <w:r>
        <w:t>“</w:t>
      </w:r>
      <w:r>
        <w:t>连接</w:t>
      </w:r>
      <w:r>
        <w:t>”</w:t>
      </w:r>
      <w:r>
        <w:t>边。</w:t>
      </w:r>
    </w:p>
    <w:p w14:paraId="5EE47130" w14:textId="77777777" w:rsidR="00017B7C" w:rsidRDefault="00000000">
      <w:pPr>
        <w:pStyle w:val="a9"/>
      </w:pPr>
      <w:r>
        <w:t>第二步，根据实体绑定结果创建跨源关联边。例如端点</w:t>
      </w:r>
      <w:r>
        <w:t>Socket</w:t>
      </w:r>
      <w:r>
        <w:t>事件与网络流会话之间形成</w:t>
      </w:r>
      <w:r>
        <w:t>“</w:t>
      </w:r>
      <w:r>
        <w:t>同会话</w:t>
      </w:r>
      <w:r>
        <w:t>”</w:t>
      </w:r>
      <w:r>
        <w:t>边，域名解析事件与外联流之间形成</w:t>
      </w:r>
      <w:r>
        <w:t>“</w:t>
      </w:r>
      <w:r>
        <w:t>解析后连接</w:t>
      </w:r>
      <w:r>
        <w:t>”</w:t>
      </w:r>
      <w:r>
        <w:t>边，认证日志与主机进程活动之间形成</w:t>
      </w:r>
      <w:r>
        <w:t>“</w:t>
      </w:r>
      <w:r>
        <w:t>同账号上下文</w:t>
      </w:r>
      <w:r>
        <w:t>”</w:t>
      </w:r>
      <w:r>
        <w:t>边。</w:t>
      </w:r>
    </w:p>
    <w:p w14:paraId="7CD7289C" w14:textId="77777777" w:rsidR="00017B7C" w:rsidRDefault="00000000">
      <w:pPr>
        <w:pStyle w:val="a9"/>
      </w:pPr>
      <w:r>
        <w:t>第三步，根据时间顺序和因果关系创建推理边。例如进程执行脚本后短时间内产生文件落地和外联连接，则系统可在这些事件之间创建低置信因果候选边，并保留候选标记。这一步骤能够在不伪造确定证据的前提下，为攻击链检测提供候选连接。</w:t>
      </w:r>
    </w:p>
    <w:p w14:paraId="653DD145" w14:textId="77777777" w:rsidR="00017B7C" w:rsidRDefault="00000000">
      <w:pPr>
        <w:pStyle w:val="a9"/>
      </w:pPr>
      <w:r>
        <w:t xml:space="preserve">③ </w:t>
      </w:r>
      <w:r>
        <w:t>增量图维护。</w:t>
      </w:r>
    </w:p>
    <w:p w14:paraId="0F9233CA" w14:textId="77777777" w:rsidR="00017B7C" w:rsidRDefault="00000000">
      <w:pPr>
        <w:pStyle w:val="a9"/>
      </w:pPr>
      <w:r>
        <w:t>本阶段以滑动窗口维护统一时序证据图。对于每个新到达事件，系统只更新受影响的节点、边和局部邻域，不重新构建全量图。每条边维护出现次数、最近出现时间、时间间隔分布、来源质量和风险分。对于过期且低风险的边，系统转入历史摘要；对于高风险边和攻击链相关边，系统延长保留时间。</w:t>
      </w:r>
    </w:p>
    <w:p w14:paraId="76D97930" w14:textId="77777777" w:rsidR="00017B7C" w:rsidRDefault="00000000">
      <w:pPr>
        <w:pStyle w:val="a9"/>
      </w:pPr>
      <w:r>
        <w:t>边风险初始得分可以表示为：</w:t>
      </w:r>
    </w:p>
    <w:p w14:paraId="100B181B" w14:textId="77777777" w:rsidR="00017B7C" w:rsidRDefault="00000000">
      <w:pPr>
        <w:pStyle w:val="a9"/>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e</m:t>
              </m:r>
            </m:sub>
          </m:sSub>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+γ</m:t>
          </m:r>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+η</m:t>
          </m:r>
          <m:sSub>
            <m:sSubPr>
              <m:ctrlPr>
                <w:rPr>
                  <w:rFonts w:ascii="Cambria Math" w:hAnsi="Cambria Math"/>
                </w:rPr>
              </m:ctrlPr>
            </m:sSubPr>
            <m:e>
              <m:r>
                <w:rPr>
                  <w:rFonts w:ascii="Cambria Math" w:hAnsi="Cambria Math"/>
                </w:rPr>
                <m:t>Q</m:t>
              </m:r>
            </m:e>
            <m:sub>
              <m:r>
                <w:rPr>
                  <w:rFonts w:ascii="Cambria Math" w:hAnsi="Cambria Math"/>
                </w:rPr>
                <m:t>e</m:t>
              </m:r>
            </m:sub>
          </m:sSub>
        </m:oMath>
      </m:oMathPara>
    </w:p>
    <w:p w14:paraId="14A88C6B" w14:textId="77777777" w:rsidR="00017B7C" w:rsidRDefault="00000000">
      <w:r>
        <w:t>其中，</w:t>
      </w:r>
      <m:oMath>
        <m:sSub>
          <m:sSubPr>
            <m:ctrlPr>
              <w:rPr>
                <w:rFonts w:ascii="Cambria Math" w:hAnsi="Cambria Math"/>
              </w:rPr>
            </m:ctrlPr>
          </m:sSubPr>
          <m:e>
            <m:r>
              <w:rPr>
                <w:rFonts w:ascii="Cambria Math" w:hAnsi="Cambria Math"/>
              </w:rPr>
              <m:t>A</m:t>
            </m:r>
          </m:e>
          <m:sub>
            <m:r>
              <w:rPr>
                <w:rFonts w:ascii="Cambria Math" w:hAnsi="Cambria Math"/>
              </w:rPr>
              <m:t>e</m:t>
            </m:r>
          </m:sub>
        </m:sSub>
      </m:oMath>
      <w:r>
        <w:t>表示动作异常程度，</w:t>
      </w:r>
      <m:oMath>
        <m:sSub>
          <m:sSubPr>
            <m:ctrlPr>
              <w:rPr>
                <w:rFonts w:ascii="Cambria Math" w:hAnsi="Cambria Math"/>
              </w:rPr>
            </m:ctrlPr>
          </m:sSubPr>
          <m:e>
            <m:r>
              <w:rPr>
                <w:rFonts w:ascii="Cambria Math" w:hAnsi="Cambria Math"/>
              </w:rPr>
              <m:t>R</m:t>
            </m:r>
          </m:e>
          <m:sub>
            <m:r>
              <w:rPr>
                <w:rFonts w:ascii="Cambria Math" w:hAnsi="Cambria Math"/>
              </w:rPr>
              <m:t>v</m:t>
            </m:r>
          </m:sub>
        </m:sSub>
      </m:oMath>
      <w:r>
        <w:t>表示相关实体敏感度，</w:t>
      </w:r>
      <m:oMath>
        <m:sSub>
          <m:sSubPr>
            <m:ctrlPr>
              <w:rPr>
                <w:rFonts w:ascii="Cambria Math" w:hAnsi="Cambria Math"/>
              </w:rPr>
            </m:ctrlPr>
          </m:sSubPr>
          <m:e>
            <m:r>
              <w:rPr>
                <w:rFonts w:ascii="Cambria Math" w:hAnsi="Cambria Math"/>
              </w:rPr>
              <m:t>L</m:t>
            </m:r>
          </m:e>
          <m:sub>
            <m:r>
              <w:rPr>
                <w:rFonts w:ascii="Cambria Math" w:hAnsi="Cambria Math"/>
              </w:rPr>
              <m:t>e</m:t>
            </m:r>
          </m:sub>
        </m:sSub>
      </m:oMath>
      <w:r>
        <w:t>表示行为稀有度，</w:t>
      </w:r>
      <m:oMath>
        <m:sSub>
          <m:sSubPr>
            <m:ctrlPr>
              <w:rPr>
                <w:rFonts w:ascii="Cambria Math" w:hAnsi="Cambria Math"/>
              </w:rPr>
            </m:ctrlPr>
          </m:sSubPr>
          <m:e>
            <m:r>
              <w:rPr>
                <w:rFonts w:ascii="Cambria Math" w:hAnsi="Cambria Math"/>
              </w:rPr>
              <m:t>X</m:t>
            </m:r>
          </m:e>
          <m:sub>
            <m:r>
              <w:rPr>
                <w:rFonts w:ascii="Cambria Math" w:hAnsi="Cambria Math"/>
              </w:rPr>
              <m:t>e</m:t>
            </m:r>
          </m:sub>
        </m:sSub>
      </m:oMath>
      <w:r>
        <w:t>表示跨主机、跨账号或跨权限程度，</w:t>
      </w:r>
      <m:oMath>
        <m:sSub>
          <m:sSubPr>
            <m:ctrlPr>
              <w:rPr>
                <w:rFonts w:ascii="Cambria Math" w:hAnsi="Cambria Math"/>
              </w:rPr>
            </m:ctrlPr>
          </m:sSubPr>
          <m:e>
            <m:r>
              <w:rPr>
                <w:rFonts w:ascii="Cambria Math" w:hAnsi="Cambria Math"/>
              </w:rPr>
              <m:t>Q</m:t>
            </m:r>
          </m:e>
          <m:sub>
            <m:r>
              <w:rPr>
                <w:rFonts w:ascii="Cambria Math" w:hAnsi="Cambria Math"/>
              </w:rPr>
              <m:t>e</m:t>
            </m:r>
          </m:sub>
        </m:sSub>
      </m:oMath>
      <w:r>
        <w:t>表示数据来源质量，</w:t>
      </w:r>
      <m:oMath>
        <m:r>
          <w:rPr>
            <w:rFonts w:ascii="Cambria Math" w:hAnsi="Cambria Math"/>
          </w:rPr>
          <m:t>α</m:t>
        </m:r>
      </m:oMath>
      <w:r>
        <w:t>至</w:t>
      </w:r>
      <m:oMath>
        <m:r>
          <w:rPr>
            <w:rFonts w:ascii="Cambria Math" w:hAnsi="Cambria Math"/>
          </w:rPr>
          <m:t>η</m:t>
        </m:r>
      </m:oMath>
      <w:r>
        <w:t>为可配置权重。</w:t>
      </w:r>
    </w:p>
    <w:p w14:paraId="211F98B9" w14:textId="77777777" w:rsidR="00017B7C" w:rsidRDefault="00000000">
      <w:pPr>
        <w:pStyle w:val="a9"/>
      </w:pPr>
      <w:r>
        <w:t>4</w:t>
      </w:r>
      <w:r>
        <w:t>、正常行为基线压缩模块</w:t>
      </w:r>
    </w:p>
    <w:p w14:paraId="5432BF5B" w14:textId="77777777" w:rsidR="00017B7C" w:rsidRDefault="00000000">
      <w:pPr>
        <w:pStyle w:val="a9"/>
      </w:pPr>
      <w:r>
        <w:t>正常行为基线压缩模块先建立正常行为基线，随后对统一时序证据图中的边进行基线匹配，最后对高频、稳定、低风险的边进行摘要化压缩。通过该模块，系统减少了正常行为边对攻击路径搜索的干扰，从而有效克服大</w:t>
      </w:r>
      <w:r>
        <w:lastRenderedPageBreak/>
        <w:t>规模溯源图中搜索空间过大的局限。</w:t>
      </w:r>
    </w:p>
    <w:p w14:paraId="39E3F135" w14:textId="77777777" w:rsidR="00017B7C" w:rsidRDefault="00000000">
      <w:pPr>
        <w:pStyle w:val="a9"/>
      </w:pPr>
      <w:r>
        <w:t xml:space="preserve">① </w:t>
      </w:r>
      <w:r>
        <w:t>正常基线建立。</w:t>
      </w:r>
    </w:p>
    <w:p w14:paraId="78A94E59" w14:textId="77777777" w:rsidR="00017B7C" w:rsidRDefault="00000000">
      <w:pPr>
        <w:pStyle w:val="a9"/>
      </w:pPr>
      <w:r>
        <w:t>本阶段按主机组、业务类型、账号类型和进程族分别建立基线。正常基线至少包括常见父子进程关系、常见文件访问路径、常见登录关系、常见域名访问、常见端口访问、常见时间段和常见流量规模。基线可由历史正常窗口统计得到，也可由人工配置的白名单关系补充。</w:t>
      </w:r>
    </w:p>
    <w:p w14:paraId="122FB335" w14:textId="77777777" w:rsidR="00017B7C" w:rsidRDefault="00000000">
      <w:pPr>
        <w:pStyle w:val="a9"/>
      </w:pPr>
      <w:r>
        <w:t xml:space="preserve">② </w:t>
      </w:r>
      <w:r>
        <w:t>基线匹配。</w:t>
      </w:r>
    </w:p>
    <w:p w14:paraId="4AFAA9EE" w14:textId="77777777" w:rsidR="00017B7C" w:rsidRDefault="00000000">
      <w:pPr>
        <w:pStyle w:val="a9"/>
      </w:pPr>
      <w:r>
        <w:t>本阶段计算当前图边与正常基线的匹配程度。基线匹配得分可表示为：</w:t>
      </w:r>
    </w:p>
    <w:p w14:paraId="0D55F9B6" w14:textId="77777777" w:rsidR="00017B7C" w:rsidRDefault="00000000">
      <w:pPr>
        <w:pStyle w:val="a9"/>
      </w:pPr>
      <m:oMathPara>
        <m:oMathParaPr>
          <m:jc m:val="center"/>
        </m:oMathParaPr>
        <m:oMath>
          <m:r>
            <w:rPr>
              <w:rFonts w:ascii="Cambria Math" w:hAnsi="Cambria Math"/>
            </w:rPr>
            <m:t>B(e)=</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H</m:t>
              </m:r>
            </m:e>
            <m:sub>
              <m:r>
                <w:rPr>
                  <w:rFonts w:ascii="Cambria Math" w:hAnsi="Cambria Math"/>
                </w:rPr>
                <m:t>e</m:t>
              </m:r>
            </m:sub>
          </m:sSub>
        </m:oMath>
      </m:oMathPara>
    </w:p>
    <w:p w14:paraId="36598453" w14:textId="77777777" w:rsidR="00017B7C" w:rsidRDefault="00000000">
      <w:r>
        <w:t>其中，</w:t>
      </w:r>
      <m:oMath>
        <m:sSub>
          <m:sSubPr>
            <m:ctrlPr>
              <w:rPr>
                <w:rFonts w:ascii="Cambria Math" w:hAnsi="Cambria Math"/>
              </w:rPr>
            </m:ctrlPr>
          </m:sSubPr>
          <m:e>
            <m:r>
              <w:rPr>
                <w:rFonts w:ascii="Cambria Math" w:hAnsi="Cambria Math"/>
              </w:rPr>
              <m:t>F</m:t>
            </m:r>
          </m:e>
          <m:sub>
            <m:r>
              <w:rPr>
                <w:rFonts w:ascii="Cambria Math" w:hAnsi="Cambria Math"/>
              </w:rPr>
              <m:t>e</m:t>
            </m:r>
          </m:sub>
        </m:sSub>
      </m:oMath>
      <w:r>
        <w:t>表示历史出现频率，</w:t>
      </w:r>
      <m:oMath>
        <m:sSub>
          <m:sSubPr>
            <m:ctrlPr>
              <w:rPr>
                <w:rFonts w:ascii="Cambria Math" w:hAnsi="Cambria Math"/>
              </w:rPr>
            </m:ctrlPr>
          </m:sSubPr>
          <m:e>
            <m:r>
              <w:rPr>
                <w:rFonts w:ascii="Cambria Math" w:hAnsi="Cambria Math"/>
              </w:rPr>
              <m:t>P</m:t>
            </m:r>
          </m:e>
          <m:sub>
            <m:r>
              <w:rPr>
                <w:rFonts w:ascii="Cambria Math" w:hAnsi="Cambria Math"/>
              </w:rPr>
              <m:t>e</m:t>
            </m:r>
          </m:sub>
        </m:sSub>
      </m:oMath>
      <w:r>
        <w:t>表示周期稳定性，</w:t>
      </w:r>
      <m:oMath>
        <m:sSub>
          <m:sSubPr>
            <m:ctrlPr>
              <w:rPr>
                <w:rFonts w:ascii="Cambria Math" w:hAnsi="Cambria Math"/>
              </w:rPr>
            </m:ctrlPr>
          </m:sSubPr>
          <m:e>
            <m:r>
              <w:rPr>
                <w:rFonts w:ascii="Cambria Math" w:hAnsi="Cambria Math"/>
              </w:rPr>
              <m:t>T</m:t>
            </m:r>
          </m:e>
          <m:sub>
            <m:r>
              <w:rPr>
                <w:rFonts w:ascii="Cambria Math" w:hAnsi="Cambria Math"/>
              </w:rPr>
              <m:t>e</m:t>
            </m:r>
          </m:sub>
        </m:sSub>
      </m:oMath>
      <w:r>
        <w:t>表示时间段一致性，</w:t>
      </w:r>
      <m:oMath>
        <m:sSub>
          <m:sSubPr>
            <m:ctrlPr>
              <w:rPr>
                <w:rFonts w:ascii="Cambria Math" w:hAnsi="Cambria Math"/>
              </w:rPr>
            </m:ctrlPr>
          </m:sSubPr>
          <m:e>
            <m:r>
              <w:rPr>
                <w:rFonts w:ascii="Cambria Math" w:hAnsi="Cambria Math"/>
              </w:rPr>
              <m:t>H</m:t>
            </m:r>
          </m:e>
          <m:sub>
            <m:r>
              <w:rPr>
                <w:rFonts w:ascii="Cambria Math" w:hAnsi="Cambria Math"/>
              </w:rPr>
              <m:t>e</m:t>
            </m:r>
          </m:sub>
        </m:sSub>
      </m:oMath>
      <w:r>
        <w:t>表示主机或业务上下文一致性。若</w:t>
      </w:r>
      <m:oMath>
        <m:r>
          <w:rPr>
            <w:rFonts w:ascii="Cambria Math" w:hAnsi="Cambria Math"/>
          </w:rPr>
          <m:t>B(e)</m:t>
        </m:r>
      </m:oMath>
      <w:r>
        <w:t>高于正常阈值且边风险得分</w:t>
      </w:r>
      <m:oMath>
        <m:sSub>
          <m:sSubPr>
            <m:ctrlPr>
              <w:rPr>
                <w:rFonts w:ascii="Cambria Math" w:hAnsi="Cambria Math"/>
              </w:rPr>
            </m:ctrlPr>
          </m:sSubPr>
          <m:e>
            <m:r>
              <w:rPr>
                <w:rFonts w:ascii="Cambria Math" w:hAnsi="Cambria Math"/>
              </w:rPr>
              <m:t>S</m:t>
            </m:r>
          </m:e>
          <m:sub>
            <m:r>
              <w:rPr>
                <w:rFonts w:ascii="Cambria Math" w:hAnsi="Cambria Math"/>
              </w:rPr>
              <m:t>e</m:t>
            </m:r>
          </m:sub>
        </m:sSub>
      </m:oMath>
      <w:r>
        <w:t>低于风险阈值，则该边可进入压缩流程。</w:t>
      </w:r>
    </w:p>
    <w:p w14:paraId="23362963" w14:textId="77777777" w:rsidR="00017B7C" w:rsidRDefault="00000000">
      <w:pPr>
        <w:pStyle w:val="a9"/>
      </w:pPr>
      <w:r>
        <w:t xml:space="preserve">③ </w:t>
      </w:r>
      <w:r>
        <w:t>摘要化压缩。</w:t>
      </w:r>
    </w:p>
    <w:p w14:paraId="6FDE8E82" w14:textId="77777777" w:rsidR="00017B7C" w:rsidRDefault="00000000">
      <w:pPr>
        <w:pStyle w:val="a9"/>
      </w:pPr>
      <w:r>
        <w:t>第一步，对高频正常边进行聚合。系统将同一进程族、同一动作类型、同一低风险目标集合内的重复边压缩为摘要边。</w:t>
      </w:r>
    </w:p>
    <w:p w14:paraId="480DFF5F" w14:textId="77777777" w:rsidR="00017B7C" w:rsidRDefault="00000000">
      <w:pPr>
        <w:pStyle w:val="a9"/>
      </w:pPr>
      <w:r>
        <w:t>第二步，保留压缩摘要。摘要边记录原始边数量、时间范围、来源列表、典型参数和统计分布，而不是直接删除原始证据。</w:t>
      </w:r>
    </w:p>
    <w:p w14:paraId="5C0AB9F3" w14:textId="77777777" w:rsidR="00017B7C" w:rsidRDefault="00000000">
      <w:pPr>
        <w:pStyle w:val="a9"/>
      </w:pPr>
      <w:r>
        <w:t>第三步，保护检测关键边。对于异常外联、异常登录、可疑脚本执行、敏感文件访问、跨主机连接、告警命中和首次出现边，系统不压缩或仅低比例压缩。通过上述流程，本模块不仅降低了图规模，还保证攻击链相关证据能够被后续检测算法调用。</w:t>
      </w:r>
    </w:p>
    <w:p w14:paraId="228C8256" w14:textId="77777777" w:rsidR="00017B7C" w:rsidRDefault="00000000">
      <w:pPr>
        <w:pStyle w:val="a9"/>
      </w:pPr>
      <w:r>
        <w:t>5</w:t>
      </w:r>
      <w:r>
        <w:t>、可疑种子筛选与异常子图生成模块</w:t>
      </w:r>
    </w:p>
    <w:p w14:paraId="0370D5AB" w14:textId="77777777" w:rsidR="00017B7C" w:rsidRDefault="00000000">
      <w:pPr>
        <w:pStyle w:val="a9"/>
      </w:pPr>
      <w:r>
        <w:t>可疑种子筛选与异常子图生成模块先对图中的节点和边计算异常分，随后选择高风险节点和高风险边作为种子，最后围绕种子生成候选异常子图。通过该模块，系统将全量检测问题转化为局部子图检测问题，从而提高算</w:t>
      </w:r>
      <w:r>
        <w:lastRenderedPageBreak/>
        <w:t>法效率。</w:t>
      </w:r>
    </w:p>
    <w:p w14:paraId="1AC1ABFC" w14:textId="77777777" w:rsidR="00017B7C" w:rsidRDefault="00000000">
      <w:pPr>
        <w:pStyle w:val="a9"/>
      </w:pPr>
      <w:r>
        <w:t xml:space="preserve">① </w:t>
      </w:r>
      <w:r>
        <w:t>节点异常分计算。</w:t>
      </w:r>
    </w:p>
    <w:p w14:paraId="12EF9221" w14:textId="77777777" w:rsidR="00017B7C" w:rsidRDefault="00000000">
      <w:pPr>
        <w:pStyle w:val="a9"/>
      </w:pPr>
      <w:r>
        <w:t>节点异常分可以综合实体敏感度、行为稀有度、告警命中、关联高风险边数量和历史偏离程度计算。节点异常分可表示为：</w:t>
      </w:r>
    </w:p>
    <w:p w14:paraId="0BC5BC94" w14:textId="77777777" w:rsidR="00017B7C" w:rsidRDefault="00000000">
      <w:pPr>
        <w:pStyle w:val="a9"/>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sSub>
            <m:sSubPr>
              <m:ctrlPr>
                <w:rPr>
                  <w:rFonts w:ascii="Cambria Math" w:hAnsi="Cambria Math"/>
                </w:rPr>
              </m:ctrlPr>
            </m:sSubPr>
            <m:e>
              <m:r>
                <w:rPr>
                  <w:rFonts w:ascii="Cambria Math" w:hAnsi="Cambria Math"/>
                </w:rPr>
                <m:t>N</m:t>
              </m:r>
            </m:e>
            <m:sub>
              <m:r>
                <w:rPr>
                  <w:rFonts w:ascii="Cambria Math" w:hAnsi="Cambria Math"/>
                </w:rPr>
                <m:t>v</m:t>
              </m:r>
            </m:sub>
          </m:sSub>
        </m:oMath>
      </m:oMathPara>
    </w:p>
    <w:p w14:paraId="3BE04345" w14:textId="77777777" w:rsidR="00017B7C" w:rsidRDefault="00000000">
      <w:r>
        <w:t>其中，</w:t>
      </w:r>
      <m:oMath>
        <m:sSub>
          <m:sSubPr>
            <m:ctrlPr>
              <w:rPr>
                <w:rFonts w:ascii="Cambria Math" w:hAnsi="Cambria Math"/>
              </w:rPr>
            </m:ctrlPr>
          </m:sSubPr>
          <m:e>
            <m:r>
              <w:rPr>
                <w:rFonts w:ascii="Cambria Math" w:hAnsi="Cambria Math"/>
              </w:rPr>
              <m:t>R</m:t>
            </m:r>
          </m:e>
          <m:sub>
            <m:r>
              <w:rPr>
                <w:rFonts w:ascii="Cambria Math" w:hAnsi="Cambria Math"/>
              </w:rPr>
              <m:t>v</m:t>
            </m:r>
          </m:sub>
        </m:sSub>
      </m:oMath>
      <w:r>
        <w:t>表示实体敏感度，</w:t>
      </w:r>
      <m:oMath>
        <m:sSub>
          <m:sSubPr>
            <m:ctrlPr>
              <w:rPr>
                <w:rFonts w:ascii="Cambria Math" w:hAnsi="Cambria Math"/>
              </w:rPr>
            </m:ctrlPr>
          </m:sSubPr>
          <m:e>
            <m:r>
              <w:rPr>
                <w:rFonts w:ascii="Cambria Math" w:hAnsi="Cambria Math"/>
              </w:rPr>
              <m:t>D</m:t>
            </m:r>
          </m:e>
          <m:sub>
            <m:r>
              <w:rPr>
                <w:rFonts w:ascii="Cambria Math" w:hAnsi="Cambria Math"/>
              </w:rPr>
              <m:t>v</m:t>
            </m:r>
          </m:sub>
        </m:sSub>
      </m:oMath>
      <w:r>
        <w:t>表示与历史行为的偏离程度，</w:t>
      </w:r>
      <m:oMath>
        <m:sSub>
          <m:sSubPr>
            <m:ctrlPr>
              <w:rPr>
                <w:rFonts w:ascii="Cambria Math" w:hAnsi="Cambria Math"/>
              </w:rPr>
            </m:ctrlPr>
          </m:sSubPr>
          <m:e>
            <m:r>
              <w:rPr>
                <w:rFonts w:ascii="Cambria Math" w:hAnsi="Cambria Math"/>
              </w:rPr>
              <m:t>H</m:t>
            </m:r>
          </m:e>
          <m:sub>
            <m:r>
              <w:rPr>
                <w:rFonts w:ascii="Cambria Math" w:hAnsi="Cambria Math"/>
              </w:rPr>
              <m:t>v</m:t>
            </m:r>
          </m:sub>
        </m:sSub>
      </m:oMath>
      <w:r>
        <w:t>表示告警或规则命中强度，</w:t>
      </w:r>
      <m:oMath>
        <m:sSub>
          <m:sSubPr>
            <m:ctrlPr>
              <w:rPr>
                <w:rFonts w:ascii="Cambria Math" w:hAnsi="Cambria Math"/>
              </w:rPr>
            </m:ctrlPr>
          </m:sSubPr>
          <m:e>
            <m:r>
              <w:rPr>
                <w:rFonts w:ascii="Cambria Math" w:hAnsi="Cambria Math"/>
              </w:rPr>
              <m:t>N</m:t>
            </m:r>
          </m:e>
          <m:sub>
            <m:r>
              <w:rPr>
                <w:rFonts w:ascii="Cambria Math" w:hAnsi="Cambria Math"/>
              </w:rPr>
              <m:t>v</m:t>
            </m:r>
          </m:sub>
        </m:sSub>
      </m:oMath>
      <w:r>
        <w:t>表示邻接高风险边比例，</w:t>
      </w:r>
      <m:oMath>
        <m:sSub>
          <m:sSubPr>
            <m:ctrlPr>
              <w:rPr>
                <w:rFonts w:ascii="Cambria Math" w:hAnsi="Cambria Math"/>
              </w:rPr>
            </m:ctrlPr>
          </m:sSubPr>
          <m:e>
            <m:r>
              <w:rPr>
                <w:rFonts w:ascii="Cambria Math" w:hAnsi="Cambria Math"/>
              </w:rPr>
              <m:t>a</m:t>
            </m:r>
          </m:e>
          <m:sub>
            <m:r>
              <w:rPr>
                <w:rFonts w:ascii="Cambria Math" w:hAnsi="Cambria Math"/>
              </w:rPr>
              <m:t>1</m:t>
            </m:r>
          </m:sub>
        </m:sSub>
      </m:oMath>
      <w:r>
        <w:t>至</w:t>
      </w:r>
      <m:oMath>
        <m:sSub>
          <m:sSubPr>
            <m:ctrlPr>
              <w:rPr>
                <w:rFonts w:ascii="Cambria Math" w:hAnsi="Cambria Math"/>
              </w:rPr>
            </m:ctrlPr>
          </m:sSubPr>
          <m:e>
            <m:r>
              <w:rPr>
                <w:rFonts w:ascii="Cambria Math" w:hAnsi="Cambria Math"/>
              </w:rPr>
              <m:t>a</m:t>
            </m:r>
          </m:e>
          <m:sub>
            <m:r>
              <w:rPr>
                <w:rFonts w:ascii="Cambria Math" w:hAnsi="Cambria Math"/>
              </w:rPr>
              <m:t>4</m:t>
            </m:r>
          </m:sub>
        </m:sSub>
      </m:oMath>
      <w:r>
        <w:t>为权重。</w:t>
      </w:r>
    </w:p>
    <w:p w14:paraId="25818F2D" w14:textId="77777777" w:rsidR="00017B7C" w:rsidRDefault="00000000">
      <w:pPr>
        <w:pStyle w:val="a9"/>
      </w:pPr>
      <w:r>
        <w:t xml:space="preserve">② </w:t>
      </w:r>
      <w:r>
        <w:t>边异常分计算。</w:t>
      </w:r>
    </w:p>
    <w:p w14:paraId="765E7468" w14:textId="77777777" w:rsidR="00017B7C" w:rsidRDefault="00000000">
      <w:pPr>
        <w:pStyle w:val="a9"/>
      </w:pPr>
      <w:r>
        <w:t>边异常分在边风险初始得分基础上进一步引入时序变化和跨源一致性。若某边在当前窗口首次出现，或出现频率显著高于历史均值，则提高其异常分。频率偏离可采用如下形式：</w:t>
      </w:r>
    </w:p>
    <w:p w14:paraId="20A4A96D" w14:textId="77777777" w:rsidR="00017B7C" w:rsidRDefault="00000000">
      <w:pPr>
        <w:pStyle w:val="a9"/>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(e)-</m:t>
              </m:r>
              <m:sSub>
                <m:sSubPr>
                  <m:ctrlPr>
                    <w:rPr>
                      <w:rFonts w:ascii="Cambria Math" w:hAnsi="Cambria Math"/>
                    </w:rPr>
                  </m:ctrlPr>
                </m:sSubPr>
                <m:e>
                  <m:r>
                    <w:rPr>
                      <w:rFonts w:ascii="Cambria Math" w:hAnsi="Cambria Math"/>
                    </w:rPr>
                    <m:t>μ</m:t>
                  </m:r>
                </m:e>
                <m:sub>
                  <m:r>
                    <w:rPr>
                      <w:rFonts w:ascii="Cambria Math" w:hAnsi="Cambria Math"/>
                    </w:rPr>
                    <m:t>e</m:t>
                  </m:r>
                </m:sub>
              </m:sSub>
            </m:num>
            <m:den>
              <m:sSub>
                <m:sSubPr>
                  <m:ctrlPr>
                    <w:rPr>
                      <w:rFonts w:ascii="Cambria Math" w:hAnsi="Cambria Math"/>
                    </w:rPr>
                  </m:ctrlPr>
                </m:sSubPr>
                <m:e>
                  <m:r>
                    <w:rPr>
                      <w:rFonts w:ascii="Cambria Math" w:hAnsi="Cambria Math"/>
                    </w:rPr>
                    <m:t>σ</m:t>
                  </m:r>
                </m:e>
                <m:sub>
                  <m:r>
                    <w:rPr>
                      <w:rFonts w:ascii="Cambria Math" w:hAnsi="Cambria Math"/>
                    </w:rPr>
                    <m:t>e</m:t>
                  </m:r>
                </m:sub>
              </m:sSub>
              <m:r>
                <w:rPr>
                  <w:rFonts w:ascii="Cambria Math" w:hAnsi="Cambria Math"/>
                </w:rPr>
                <m:t>+ε</m:t>
              </m:r>
            </m:den>
          </m:f>
        </m:oMath>
      </m:oMathPara>
    </w:p>
    <w:p w14:paraId="680486F3" w14:textId="77777777" w:rsidR="00017B7C" w:rsidRDefault="00000000">
      <w:r>
        <w:t>其中，</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(e)</m:t>
        </m:r>
      </m:oMath>
      <w:r>
        <w:t>表示当前窗口中边</w:t>
      </w:r>
      <m:oMath>
        <m:r>
          <w:rPr>
            <w:rFonts w:ascii="Cambria Math" w:hAnsi="Cambria Math"/>
          </w:rPr>
          <m:t>e</m:t>
        </m:r>
      </m:oMath>
      <w:r>
        <w:t>的出现频率，</w:t>
      </w:r>
      <m:oMath>
        <m:sSub>
          <m:sSubPr>
            <m:ctrlPr>
              <w:rPr>
                <w:rFonts w:ascii="Cambria Math" w:hAnsi="Cambria Math"/>
              </w:rPr>
            </m:ctrlPr>
          </m:sSubPr>
          <m:e>
            <m:r>
              <w:rPr>
                <w:rFonts w:ascii="Cambria Math" w:hAnsi="Cambria Math"/>
              </w:rPr>
              <m:t>μ</m:t>
            </m:r>
          </m:e>
          <m:sub>
            <m:r>
              <w:rPr>
                <w:rFonts w:ascii="Cambria Math" w:hAnsi="Cambria Math"/>
              </w:rPr>
              <m:t>e</m:t>
            </m:r>
          </m:sub>
        </m:sSub>
      </m:oMath>
      <w:r>
        <w:t>和</w:t>
      </w:r>
      <m:oMath>
        <m:sSub>
          <m:sSubPr>
            <m:ctrlPr>
              <w:rPr>
                <w:rFonts w:ascii="Cambria Math" w:hAnsi="Cambria Math"/>
              </w:rPr>
            </m:ctrlPr>
          </m:sSubPr>
          <m:e>
            <m:r>
              <w:rPr>
                <w:rFonts w:ascii="Cambria Math" w:hAnsi="Cambria Math"/>
              </w:rPr>
              <m:t>σ</m:t>
            </m:r>
          </m:e>
          <m:sub>
            <m:r>
              <w:rPr>
                <w:rFonts w:ascii="Cambria Math" w:hAnsi="Cambria Math"/>
              </w:rPr>
              <m:t>e</m:t>
            </m:r>
          </m:sub>
        </m:sSub>
      </m:oMath>
      <w:r>
        <w:t>分别表示历史均值和标准差，</w:t>
      </w:r>
      <m:oMath>
        <m:r>
          <w:rPr>
            <w:rFonts w:ascii="Cambria Math" w:hAnsi="Cambria Math"/>
          </w:rPr>
          <m:t>ε</m:t>
        </m:r>
      </m:oMath>
      <w:r>
        <w:t>为防止除零的常数。</w:t>
      </w:r>
    </w:p>
    <w:p w14:paraId="10B9F5A4" w14:textId="77777777" w:rsidR="00017B7C" w:rsidRDefault="00000000">
      <w:pPr>
        <w:pStyle w:val="a9"/>
      </w:pPr>
      <w:r>
        <w:t xml:space="preserve">③ </w:t>
      </w:r>
      <w:r>
        <w:t>候选子图生成。</w:t>
      </w:r>
    </w:p>
    <w:p w14:paraId="4911547E" w14:textId="77777777" w:rsidR="00017B7C" w:rsidRDefault="00000000">
      <w:pPr>
        <w:pStyle w:val="a9"/>
      </w:pPr>
      <w:r>
        <w:t>第一步，选择</w:t>
      </w:r>
      <m:oMath>
        <m:sSub>
          <m:sSubPr>
            <m:ctrlPr>
              <w:rPr>
                <w:rFonts w:ascii="Cambria Math" w:hAnsi="Cambria Math"/>
              </w:rPr>
            </m:ctrlPr>
          </m:sSubPr>
          <m:e>
            <m:r>
              <w:rPr>
                <w:rFonts w:ascii="Cambria Math" w:hAnsi="Cambria Math"/>
              </w:rPr>
              <m:t>S</m:t>
            </m:r>
          </m:e>
          <m:sub>
            <m:r>
              <w:rPr>
                <w:rFonts w:ascii="Cambria Math" w:hAnsi="Cambria Math"/>
              </w:rPr>
              <m:t>v</m:t>
            </m:r>
          </m:sub>
        </m:sSub>
      </m:oMath>
      <w:r>
        <w:t>或</w:t>
      </w:r>
      <m:oMath>
        <m:sSub>
          <m:sSubPr>
            <m:ctrlPr>
              <w:rPr>
                <w:rFonts w:ascii="Cambria Math" w:hAnsi="Cambria Math"/>
              </w:rPr>
            </m:ctrlPr>
          </m:sSubPr>
          <m:e>
            <m:r>
              <w:rPr>
                <w:rFonts w:ascii="Cambria Math" w:hAnsi="Cambria Math"/>
              </w:rPr>
              <m:t>S</m:t>
            </m:r>
          </m:e>
          <m:sub>
            <m:r>
              <w:rPr>
                <w:rFonts w:ascii="Cambria Math" w:hAnsi="Cambria Math"/>
              </w:rPr>
              <m:t>e</m:t>
            </m:r>
          </m:sub>
        </m:sSub>
      </m:oMath>
      <w:r>
        <w:t>超过种子阈值的节点或边作为可疑种子。</w:t>
      </w:r>
    </w:p>
    <w:p w14:paraId="38E33D4A" w14:textId="77777777" w:rsidR="00017B7C" w:rsidRDefault="00000000">
      <w:pPr>
        <w:pStyle w:val="a9"/>
      </w:pPr>
      <w:r>
        <w:t>第二步，按时间窗口、图距离和实体类型扩展邻域。对于进程种子，优先扩展父进程、子进程、写入文件、创建</w:t>
      </w:r>
      <w:r>
        <w:t>Socket</w:t>
      </w:r>
      <w:r>
        <w:t>和外联流；对于账号种子，优先扩展登录主机、远程执行、访问文件和相关网络会话；对于流会话种子，优先扩展域名、解析记录、发起进程和同主机其他外联。</w:t>
      </w:r>
    </w:p>
    <w:p w14:paraId="00B31FB8" w14:textId="77777777" w:rsidR="00017B7C" w:rsidRDefault="00000000">
      <w:pPr>
        <w:pStyle w:val="a9"/>
      </w:pPr>
      <w:r>
        <w:t>第三步，对候选子图进行裁剪。系统移除低风险摘要边和与种子无时间连续性的边，保留可疑路径相关节点。通过该步骤，系统得到规模较小但证据密度较高的异常子图。</w:t>
      </w:r>
    </w:p>
    <w:p w14:paraId="72D49588" w14:textId="77777777" w:rsidR="00017B7C" w:rsidRDefault="00000000">
      <w:pPr>
        <w:pStyle w:val="a9"/>
      </w:pPr>
      <w:r>
        <w:t>6</w:t>
      </w:r>
      <w:r>
        <w:t>、攻击阶段判定与路径搜索模块</w:t>
      </w:r>
    </w:p>
    <w:p w14:paraId="60796B61" w14:textId="77777777" w:rsidR="00017B7C" w:rsidRDefault="00000000">
      <w:pPr>
        <w:pStyle w:val="a9"/>
      </w:pPr>
      <w:r>
        <w:lastRenderedPageBreak/>
        <w:t>攻击阶段判定与路径搜索模块先对候选子图中的节点和边进行阶段候选标记，随后依据时间顺序和因果依赖搜索候选路径，最后输出符合检测阈值的攻击链。通过该模块，系统将异常子图进一步转化为阶段化攻击链，从而有效克服普通异常检测只能输出孤立异常点的局限。</w:t>
      </w:r>
    </w:p>
    <w:p w14:paraId="2D19600D" w14:textId="77777777" w:rsidR="00017B7C" w:rsidRDefault="00000000">
      <w:pPr>
        <w:pStyle w:val="a9"/>
      </w:pPr>
      <w:r>
        <w:t xml:space="preserve">① </w:t>
      </w:r>
      <w:r>
        <w:t>阶段候选标记。</w:t>
      </w:r>
    </w:p>
    <w:p w14:paraId="41869735" w14:textId="77777777" w:rsidR="00017B7C" w:rsidRDefault="00000000">
      <w:pPr>
        <w:pStyle w:val="a9"/>
      </w:pPr>
      <w:r>
        <w:t>本阶段根据动作类型、实体类型和上下文特征为边分配阶段候选标签。例如，外部文档触发脚本解释器执行可标记为初始访问或执行，异常进程写入启动目录可标记为持久化，普通账号访问凭证文件可标记为凭证访问，同一账号在多主机上短时间登录可标记为横向移动，异常进程产生周期性外联可标记为命令控制，大量文件读取后出现外传流量可标记为数据外传。</w:t>
      </w:r>
    </w:p>
    <w:p w14:paraId="6363A6D7" w14:textId="77777777" w:rsidR="00017B7C" w:rsidRDefault="00000000">
      <w:pPr>
        <w:pStyle w:val="a9"/>
      </w:pPr>
      <w:r>
        <w:t xml:space="preserve">② </w:t>
      </w:r>
      <w:r>
        <w:t>阶段序列约束。</w:t>
      </w:r>
    </w:p>
    <w:p w14:paraId="0104771A" w14:textId="77777777" w:rsidR="00017B7C" w:rsidRDefault="00000000">
      <w:pPr>
        <w:pStyle w:val="a9"/>
      </w:pPr>
      <w:r>
        <w:t>系统维护阶段转移矩阵</w:t>
      </w:r>
      <m:oMath>
        <m:r>
          <w:rPr>
            <w:rFonts w:ascii="Cambria Math" w:hAnsi="Cambria Math"/>
          </w:rPr>
          <m:t>T</m:t>
        </m:r>
      </m:oMath>
      <w:r>
        <w:t>，其中</w:t>
      </w:r>
      <m:oMath>
        <m:sSub>
          <m:sSubPr>
            <m:ctrlPr>
              <w:rPr>
                <w:rFonts w:ascii="Cambria Math" w:hAnsi="Cambria Math"/>
              </w:rPr>
            </m:ctrlPr>
          </m:sSubPr>
          <m:e>
            <m:r>
              <w:rPr>
                <w:rFonts w:ascii="Cambria Math" w:hAnsi="Cambria Math"/>
              </w:rPr>
              <m:t>T</m:t>
            </m:r>
          </m:e>
          <m:sub>
            <m:r>
              <w:rPr>
                <w:rFonts w:ascii="Cambria Math" w:hAnsi="Cambria Math"/>
              </w:rPr>
              <m:t>ij</m:t>
            </m:r>
          </m:sub>
        </m:sSub>
      </m:oMath>
      <w:r>
        <w:t>表示阶段</w:t>
      </w:r>
      <m:oMath>
        <m:r>
          <w:rPr>
            <w:rFonts w:ascii="Cambria Math" w:hAnsi="Cambria Math"/>
          </w:rPr>
          <m:t>i</m:t>
        </m:r>
      </m:oMath>
      <w:r>
        <w:t>之后出现阶段</w:t>
      </w:r>
      <m:oMath>
        <m:r>
          <w:rPr>
            <w:rFonts w:ascii="Cambria Math" w:hAnsi="Cambria Math"/>
          </w:rPr>
          <m:t>j</m:t>
        </m:r>
      </m:oMath>
      <w:r>
        <w:t>的合理程度。若某候选路径的阶段序列明显违背攻击过程，例如在无执行证据的情况下直接出现外传阶段，则降低路径得分。阶段转移矩阵可以由规则配置，也可以由历史样本统计得到。</w:t>
      </w:r>
    </w:p>
    <w:p w14:paraId="2359D0A0" w14:textId="77777777" w:rsidR="00017B7C" w:rsidRDefault="00000000">
      <w:pPr>
        <w:pStyle w:val="a9"/>
      </w:pPr>
      <w:r>
        <w:t xml:space="preserve">③ </w:t>
      </w:r>
      <w:r>
        <w:t>路径搜索。</w:t>
      </w:r>
    </w:p>
    <w:p w14:paraId="47A55C19" w14:textId="77777777" w:rsidR="00017B7C" w:rsidRDefault="00000000">
      <w:pPr>
        <w:pStyle w:val="a9"/>
      </w:pPr>
      <w:r>
        <w:t>第一步，确定路径起点。系统优先选择初始访问、异常执行、异常登录、异常外联等高风险种子作为路径起点。</w:t>
      </w:r>
    </w:p>
    <w:p w14:paraId="2DCB057C" w14:textId="77777777" w:rsidR="00017B7C" w:rsidRDefault="00000000">
      <w:pPr>
        <w:pStyle w:val="a9"/>
      </w:pPr>
      <w:r>
        <w:t>第二步，执行时间因果搜索。系统仅连接满足时间递增、图上可达、实体上下文相关和最大时间间隔约束的节点。</w:t>
      </w:r>
    </w:p>
    <w:p w14:paraId="609E3279" w14:textId="77777777" w:rsidR="00017B7C" w:rsidRDefault="00000000">
      <w:pPr>
        <w:pStyle w:val="a9"/>
      </w:pPr>
      <w:r>
        <w:t>第三步，执行路径剪枝。若路径长度超过最大长度、阶段得分过低、证据来源过少或正常边比例过高，则提前剪枝。</w:t>
      </w:r>
    </w:p>
    <w:p w14:paraId="3003304A" w14:textId="77777777" w:rsidR="00017B7C" w:rsidRDefault="00000000">
      <w:pPr>
        <w:pStyle w:val="a9"/>
      </w:pPr>
      <w:r>
        <w:t>第四步，合并相似路径。对于共享同一入口进程、同一账号、同一外联域</w:t>
      </w:r>
      <w:r>
        <w:lastRenderedPageBreak/>
        <w:t>名或同一关键文件的路径，系统合并为主链和分支链，减少重复输出。</w:t>
      </w:r>
    </w:p>
    <w:p w14:paraId="056042AE" w14:textId="77777777" w:rsidR="00017B7C" w:rsidRDefault="00000000">
      <w:pPr>
        <w:pStyle w:val="a9"/>
      </w:pPr>
      <w:r>
        <w:t>路径风险得分可表示为：</w:t>
      </w:r>
    </w:p>
    <w:p w14:paraId="58EABEBD" w14:textId="77777777" w:rsidR="00017B7C" w:rsidRDefault="00000000">
      <w:pPr>
        <w:pStyle w:val="a9"/>
      </w:pPr>
      <m:oMathPara>
        <m:oMathParaPr>
          <m:jc m:val="center"/>
        </m:oMathParaPr>
        <m:oMath>
          <m:r>
            <w:rPr>
              <w:rFonts w:ascii="Cambria Math" w:hAnsi="Cambria Math"/>
            </w:rPr>
            <m:t>R(P)=</m:t>
          </m:r>
          <m:sSub>
            <m:sSubPr>
              <m:ctrlPr>
                <w:rPr>
                  <w:rFonts w:ascii="Cambria Math" w:hAnsi="Cambria Math"/>
                </w:rPr>
              </m:ctrlPr>
            </m:sSubPr>
            <m:e>
              <m:r>
                <w:rPr>
                  <w:rFonts w:ascii="Cambria Math" w:hAnsi="Cambria Math"/>
                </w:rPr>
                <m:t>μ</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stage</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sSub>
            <m:sSubPr>
              <m:ctrlPr>
                <w:rPr>
                  <w:rFonts w:ascii="Cambria Math" w:hAnsi="Cambria Math"/>
                </w:rPr>
              </m:ctrlPr>
            </m:sSubPr>
            <m:e>
              <m:r>
                <w:rPr>
                  <w:rFonts w:ascii="Cambria Math" w:hAnsi="Cambria Math"/>
                </w:rPr>
                <m:t>S</m:t>
              </m:r>
            </m:e>
            <m:sub>
              <m:r>
                <w:rPr>
                  <w:rFonts w:ascii="Cambria Math" w:hAnsi="Cambria Math"/>
                </w:rPr>
                <m:t>evidence</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sSub>
            <m:sSubPr>
              <m:ctrlPr>
                <w:rPr>
                  <w:rFonts w:ascii="Cambria Math" w:hAnsi="Cambria Math"/>
                </w:rPr>
              </m:ctrlPr>
            </m:sSubPr>
            <m:e>
              <m:r>
                <w:rPr>
                  <w:rFonts w:ascii="Cambria Math" w:hAnsi="Cambria Math"/>
                </w:rPr>
                <m:t>S</m:t>
              </m:r>
            </m:e>
            <m:sub>
              <m:r>
                <w:rPr>
                  <w:rFonts w:ascii="Cambria Math" w:hAnsi="Cambria Math"/>
                </w:rPr>
                <m:t>time</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4</m:t>
              </m:r>
            </m:sub>
          </m:sSub>
          <m:sSub>
            <m:sSubPr>
              <m:ctrlPr>
                <w:rPr>
                  <w:rFonts w:ascii="Cambria Math" w:hAnsi="Cambria Math"/>
                </w:rPr>
              </m:ctrlPr>
            </m:sSubPr>
            <m:e>
              <m:r>
                <w:rPr>
                  <w:rFonts w:ascii="Cambria Math" w:hAnsi="Cambria Math"/>
                </w:rPr>
                <m:t>S</m:t>
              </m:r>
            </m:e>
            <m:sub>
              <m:r>
                <w:rPr>
                  <w:rFonts w:ascii="Cambria Math" w:hAnsi="Cambria Math"/>
                </w:rPr>
                <m:t>causal</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5</m:t>
              </m:r>
            </m:sub>
          </m:sSub>
          <m:sSub>
            <m:sSubPr>
              <m:ctrlPr>
                <w:rPr>
                  <w:rFonts w:ascii="Cambria Math" w:hAnsi="Cambria Math"/>
                </w:rPr>
              </m:ctrlPr>
            </m:sSubPr>
            <m:e>
              <m:r>
                <w:rPr>
                  <w:rFonts w:ascii="Cambria Math" w:hAnsi="Cambria Math"/>
                </w:rPr>
                <m:t>S</m:t>
              </m:r>
            </m:e>
            <m:sub>
              <m:r>
                <w:rPr>
                  <w:rFonts w:ascii="Cambria Math" w:hAnsi="Cambria Math"/>
                </w:rPr>
                <m:t>compact</m:t>
              </m:r>
            </m:sub>
          </m:sSub>
        </m:oMath>
      </m:oMathPara>
    </w:p>
    <w:p w14:paraId="40A434F9" w14:textId="77777777" w:rsidR="00017B7C" w:rsidRDefault="00000000">
      <w:r>
        <w:t>其中，</w:t>
      </w:r>
      <m:oMath>
        <m:r>
          <w:rPr>
            <w:rFonts w:ascii="Cambria Math" w:hAnsi="Cambria Math"/>
          </w:rPr>
          <m:t>P</m:t>
        </m:r>
      </m:oMath>
      <w:r>
        <w:t>表示候选路径，</w:t>
      </w:r>
      <m:oMath>
        <m:sSub>
          <m:sSubPr>
            <m:ctrlPr>
              <w:rPr>
                <w:rFonts w:ascii="Cambria Math" w:hAnsi="Cambria Math"/>
              </w:rPr>
            </m:ctrlPr>
          </m:sSubPr>
          <m:e>
            <m:r>
              <w:rPr>
                <w:rFonts w:ascii="Cambria Math" w:hAnsi="Cambria Math"/>
              </w:rPr>
              <m:t>S</m:t>
            </m:r>
          </m:e>
          <m:sub>
            <m:r>
              <w:rPr>
                <w:rFonts w:ascii="Cambria Math" w:hAnsi="Cambria Math"/>
              </w:rPr>
              <m:t>stage</m:t>
            </m:r>
          </m:sub>
        </m:sSub>
      </m:oMath>
      <w:r>
        <w:t>表示阶段顺序一致性，</w:t>
      </w:r>
      <m:oMath>
        <m:sSub>
          <m:sSubPr>
            <m:ctrlPr>
              <w:rPr>
                <w:rFonts w:ascii="Cambria Math" w:hAnsi="Cambria Math"/>
              </w:rPr>
            </m:ctrlPr>
          </m:sSubPr>
          <m:e>
            <m:r>
              <w:rPr>
                <w:rFonts w:ascii="Cambria Math" w:hAnsi="Cambria Math"/>
              </w:rPr>
              <m:t>S</m:t>
            </m:r>
          </m:e>
          <m:sub>
            <m:r>
              <w:rPr>
                <w:rFonts w:ascii="Cambria Math" w:hAnsi="Cambria Math"/>
              </w:rPr>
              <m:t>evidence</m:t>
            </m:r>
          </m:sub>
        </m:sSub>
      </m:oMath>
      <w:r>
        <w:t>表示证据强度，</w:t>
      </w:r>
      <m:oMath>
        <m:sSub>
          <m:sSubPr>
            <m:ctrlPr>
              <w:rPr>
                <w:rFonts w:ascii="Cambria Math" w:hAnsi="Cambria Math"/>
              </w:rPr>
            </m:ctrlPr>
          </m:sSubPr>
          <m:e>
            <m:r>
              <w:rPr>
                <w:rFonts w:ascii="Cambria Math" w:hAnsi="Cambria Math"/>
              </w:rPr>
              <m:t>S</m:t>
            </m:r>
          </m:e>
          <m:sub>
            <m:r>
              <w:rPr>
                <w:rFonts w:ascii="Cambria Math" w:hAnsi="Cambria Math"/>
              </w:rPr>
              <m:t>time</m:t>
            </m:r>
          </m:sub>
        </m:sSub>
      </m:oMath>
      <w:r>
        <w:t>表示时间连续性，</w:t>
      </w:r>
      <m:oMath>
        <m:sSub>
          <m:sSubPr>
            <m:ctrlPr>
              <w:rPr>
                <w:rFonts w:ascii="Cambria Math" w:hAnsi="Cambria Math"/>
              </w:rPr>
            </m:ctrlPr>
          </m:sSubPr>
          <m:e>
            <m:r>
              <w:rPr>
                <w:rFonts w:ascii="Cambria Math" w:hAnsi="Cambria Math"/>
              </w:rPr>
              <m:t>S</m:t>
            </m:r>
          </m:e>
          <m:sub>
            <m:r>
              <w:rPr>
                <w:rFonts w:ascii="Cambria Math" w:hAnsi="Cambria Math"/>
              </w:rPr>
              <m:t>causal</m:t>
            </m:r>
          </m:sub>
        </m:sSub>
      </m:oMath>
      <w:r>
        <w:t>表示因果关系强度，</w:t>
      </w:r>
      <m:oMath>
        <m:sSub>
          <m:sSubPr>
            <m:ctrlPr>
              <w:rPr>
                <w:rFonts w:ascii="Cambria Math" w:hAnsi="Cambria Math"/>
              </w:rPr>
            </m:ctrlPr>
          </m:sSubPr>
          <m:e>
            <m:r>
              <w:rPr>
                <w:rFonts w:ascii="Cambria Math" w:hAnsi="Cambria Math"/>
              </w:rPr>
              <m:t>S</m:t>
            </m:r>
          </m:e>
          <m:sub>
            <m:r>
              <w:rPr>
                <w:rFonts w:ascii="Cambria Math" w:hAnsi="Cambria Math"/>
              </w:rPr>
              <m:t>compact</m:t>
            </m:r>
          </m:sub>
        </m:sSub>
      </m:oMath>
      <w:r>
        <w:t>表示路径紧凑度，</w:t>
      </w:r>
      <m:oMath>
        <m:sSub>
          <m:sSubPr>
            <m:ctrlPr>
              <w:rPr>
                <w:rFonts w:ascii="Cambria Math" w:hAnsi="Cambria Math"/>
              </w:rPr>
            </m:ctrlPr>
          </m:sSubPr>
          <m:e>
            <m:r>
              <w:rPr>
                <w:rFonts w:ascii="Cambria Math" w:hAnsi="Cambria Math"/>
              </w:rPr>
              <m:t>μ</m:t>
            </m:r>
          </m:e>
          <m:sub>
            <m:r>
              <w:rPr>
                <w:rFonts w:ascii="Cambria Math" w:hAnsi="Cambria Math"/>
              </w:rPr>
              <m:t>1</m:t>
            </m:r>
          </m:sub>
        </m:sSub>
      </m:oMath>
      <w:r>
        <w:t>至</w:t>
      </w:r>
      <m:oMath>
        <m:sSub>
          <m:sSubPr>
            <m:ctrlPr>
              <w:rPr>
                <w:rFonts w:ascii="Cambria Math" w:hAnsi="Cambria Math"/>
              </w:rPr>
            </m:ctrlPr>
          </m:sSubPr>
          <m:e>
            <m:r>
              <w:rPr>
                <w:rFonts w:ascii="Cambria Math" w:hAnsi="Cambria Math"/>
              </w:rPr>
              <m:t>μ</m:t>
            </m:r>
          </m:e>
          <m:sub>
            <m:r>
              <w:rPr>
                <w:rFonts w:ascii="Cambria Math" w:hAnsi="Cambria Math"/>
              </w:rPr>
              <m:t>5</m:t>
            </m:r>
          </m:sub>
        </m:sSub>
      </m:oMath>
      <w:r>
        <w:t>为权重参数。</w:t>
      </w:r>
    </w:p>
    <w:p w14:paraId="769105E7" w14:textId="77777777" w:rsidR="00017B7C" w:rsidRDefault="00000000">
      <w:pPr>
        <w:pStyle w:val="a9"/>
      </w:pPr>
      <w:r>
        <w:t>7</w:t>
      </w:r>
      <w:r>
        <w:t>、链路风险判定与检测结果输出模块</w:t>
      </w:r>
    </w:p>
    <w:p w14:paraId="349C59C4" w14:textId="77777777" w:rsidR="00017B7C" w:rsidRDefault="00000000">
      <w:pPr>
        <w:pStyle w:val="a9"/>
      </w:pPr>
      <w:r>
        <w:t>链路风险判定与检测结果输出模块先根据路径风险得分、证据覆盖度和阶段完整度对候选路径进行分类，随后输出检测结果，最后记录证据链和缺失环节。通过该模块，系统不仅能够给出是否可疑的判断，还能够说明该判断对应的端点证据、日志证据和网络流证据。</w:t>
      </w:r>
    </w:p>
    <w:p w14:paraId="6D2C8EF0" w14:textId="77777777" w:rsidR="00017B7C" w:rsidRDefault="00000000">
      <w:pPr>
        <w:pStyle w:val="a9"/>
      </w:pPr>
      <w:r>
        <w:t xml:space="preserve">① </w:t>
      </w:r>
      <w:r>
        <w:t>检测分类。</w:t>
      </w:r>
    </w:p>
    <w:p w14:paraId="61748C1D" w14:textId="77777777" w:rsidR="00017B7C" w:rsidRDefault="00000000">
      <w:pPr>
        <w:pStyle w:val="a9"/>
      </w:pPr>
      <w:r>
        <w:t>系统根据链路风险得分</w:t>
      </w:r>
      <m:oMath>
        <m:r>
          <w:rPr>
            <w:rFonts w:ascii="Cambria Math" w:hAnsi="Cambria Math"/>
          </w:rPr>
          <m:t>R(P)</m:t>
        </m:r>
      </m:oMath>
      <w:r>
        <w:t>与阈值进行分类。若</w:t>
      </w:r>
      <m:oMath>
        <m:r>
          <w:rPr>
            <w:rFonts w:ascii="Cambria Math" w:hAnsi="Cambria Math"/>
          </w:rPr>
          <m:t>R(P)&lt;</m:t>
        </m:r>
        <m:sSub>
          <m:sSubPr>
            <m:ctrlPr>
              <w:rPr>
                <w:rFonts w:ascii="Cambria Math" w:hAnsi="Cambria Math"/>
              </w:rPr>
            </m:ctrlPr>
          </m:sSubPr>
          <m:e>
            <m:r>
              <w:rPr>
                <w:rFonts w:ascii="Cambria Math" w:hAnsi="Cambria Math"/>
              </w:rPr>
              <m:t>τ</m:t>
            </m:r>
          </m:e>
          <m:sub>
            <m:r>
              <w:rPr>
                <w:rFonts w:ascii="Cambria Math" w:hAnsi="Cambria Math"/>
              </w:rPr>
              <m:t>1</m:t>
            </m:r>
          </m:sub>
        </m:sSub>
      </m:oMath>
      <w:r>
        <w:t>，输出正常链路；若</w:t>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≤R(P)&lt;</m:t>
        </m:r>
        <m:sSub>
          <m:sSubPr>
            <m:ctrlPr>
              <w:rPr>
                <w:rFonts w:ascii="Cambria Math" w:hAnsi="Cambria Math"/>
              </w:rPr>
            </m:ctrlPr>
          </m:sSubPr>
          <m:e>
            <m:r>
              <w:rPr>
                <w:rFonts w:ascii="Cambria Math" w:hAnsi="Cambria Math"/>
              </w:rPr>
              <m:t>τ</m:t>
            </m:r>
          </m:e>
          <m:sub>
            <m:r>
              <w:rPr>
                <w:rFonts w:ascii="Cambria Math" w:hAnsi="Cambria Math"/>
              </w:rPr>
              <m:t>2</m:t>
            </m:r>
          </m:sub>
        </m:sSub>
      </m:oMath>
      <w:r>
        <w:t>，输出低风险可疑链路；若</w:t>
      </w:r>
      <m:oMath>
        <m:sSub>
          <m:sSubPr>
            <m:ctrlPr>
              <w:rPr>
                <w:rFonts w:ascii="Cambria Math" w:hAnsi="Cambria Math"/>
              </w:rPr>
            </m:ctrlPr>
          </m:sSubPr>
          <m:e>
            <m:r>
              <w:rPr>
                <w:rFonts w:ascii="Cambria Math" w:hAnsi="Cambria Math"/>
              </w:rPr>
              <m:t>τ</m:t>
            </m:r>
          </m:e>
          <m:sub>
            <m:r>
              <w:rPr>
                <w:rFonts w:ascii="Cambria Math" w:hAnsi="Cambria Math"/>
              </w:rPr>
              <m:t>2</m:t>
            </m:r>
          </m:sub>
        </m:sSub>
        <m:r>
          <w:rPr>
            <w:rFonts w:ascii="Cambria Math" w:hAnsi="Cambria Math"/>
          </w:rPr>
          <m:t>≤R(P)&lt;</m:t>
        </m:r>
        <m:sSub>
          <m:sSubPr>
            <m:ctrlPr>
              <w:rPr>
                <w:rFonts w:ascii="Cambria Math" w:hAnsi="Cambria Math"/>
              </w:rPr>
            </m:ctrlPr>
          </m:sSubPr>
          <m:e>
            <m:r>
              <w:rPr>
                <w:rFonts w:ascii="Cambria Math" w:hAnsi="Cambria Math"/>
              </w:rPr>
              <m:t>τ</m:t>
            </m:r>
          </m:e>
          <m:sub>
            <m:r>
              <w:rPr>
                <w:rFonts w:ascii="Cambria Math" w:hAnsi="Cambria Math"/>
              </w:rPr>
              <m:t>3</m:t>
            </m:r>
          </m:sub>
        </m:sSub>
      </m:oMath>
      <w:r>
        <w:t>，输出待确认攻击链；若</w:t>
      </w:r>
      <m:oMath>
        <m:r>
          <w:rPr>
            <w:rFonts w:ascii="Cambria Math" w:hAnsi="Cambria Math"/>
          </w:rPr>
          <m:t>R(P)≥</m:t>
        </m:r>
        <m:sSub>
          <m:sSubPr>
            <m:ctrlPr>
              <w:rPr>
                <w:rFonts w:ascii="Cambria Math" w:hAnsi="Cambria Math"/>
              </w:rPr>
            </m:ctrlPr>
          </m:sSubPr>
          <m:e>
            <m:r>
              <w:rPr>
                <w:rFonts w:ascii="Cambria Math" w:hAnsi="Cambria Math"/>
              </w:rPr>
              <m:t>τ</m:t>
            </m:r>
          </m:e>
          <m:sub>
            <m:r>
              <w:rPr>
                <w:rFonts w:ascii="Cambria Math" w:hAnsi="Cambria Math"/>
              </w:rPr>
              <m:t>3</m:t>
            </m:r>
          </m:sub>
        </m:sSub>
      </m:oMath>
      <w:r>
        <w:t>且证据覆盖度满足要求，输出高风险攻击链候选。阈值</w:t>
      </w:r>
      <m:oMath>
        <m:sSub>
          <m:sSubPr>
            <m:ctrlPr>
              <w:rPr>
                <w:rFonts w:ascii="Cambria Math" w:hAnsi="Cambria Math"/>
              </w:rPr>
            </m:ctrlPr>
          </m:sSubPr>
          <m:e>
            <m:r>
              <w:rPr>
                <w:rFonts w:ascii="Cambria Math" w:hAnsi="Cambria Math"/>
              </w:rPr>
              <m:t>τ</m:t>
            </m:r>
          </m:e>
          <m:sub>
            <m:r>
              <w:rPr>
                <w:rFonts w:ascii="Cambria Math" w:hAnsi="Cambria Math"/>
              </w:rPr>
              <m:t>1</m:t>
            </m:r>
          </m:sub>
        </m:sSub>
      </m:oMath>
      <w:r>
        <w:t>、</w:t>
      </w:r>
      <m:oMath>
        <m:sSub>
          <m:sSubPr>
            <m:ctrlPr>
              <w:rPr>
                <w:rFonts w:ascii="Cambria Math" w:hAnsi="Cambria Math"/>
              </w:rPr>
            </m:ctrlPr>
          </m:sSubPr>
          <m:e>
            <m:r>
              <w:rPr>
                <w:rFonts w:ascii="Cambria Math" w:hAnsi="Cambria Math"/>
              </w:rPr>
              <m:t>τ</m:t>
            </m:r>
          </m:e>
          <m:sub>
            <m:r>
              <w:rPr>
                <w:rFonts w:ascii="Cambria Math" w:hAnsi="Cambria Math"/>
              </w:rPr>
              <m:t>2</m:t>
            </m:r>
          </m:sub>
        </m:sSub>
      </m:oMath>
      <w:r>
        <w:t>和</w:t>
      </w:r>
      <m:oMath>
        <m:sSub>
          <m:sSubPr>
            <m:ctrlPr>
              <w:rPr>
                <w:rFonts w:ascii="Cambria Math" w:hAnsi="Cambria Math"/>
              </w:rPr>
            </m:ctrlPr>
          </m:sSubPr>
          <m:e>
            <m:r>
              <w:rPr>
                <w:rFonts w:ascii="Cambria Math" w:hAnsi="Cambria Math"/>
              </w:rPr>
              <m:t>τ</m:t>
            </m:r>
          </m:e>
          <m:sub>
            <m:r>
              <w:rPr>
                <w:rFonts w:ascii="Cambria Math" w:hAnsi="Cambria Math"/>
              </w:rPr>
              <m:t>3</m:t>
            </m:r>
          </m:sub>
        </m:sSub>
      </m:oMath>
      <w:r>
        <w:t>可按资产重要性、业务类型和检测灵敏度配置。</w:t>
      </w:r>
    </w:p>
    <w:p w14:paraId="4F302959" w14:textId="77777777" w:rsidR="00017B7C" w:rsidRDefault="00000000">
      <w:pPr>
        <w:pStyle w:val="a9"/>
      </w:pPr>
      <w:r>
        <w:t xml:space="preserve">② </w:t>
      </w:r>
      <w:r>
        <w:t>证据覆盖度计算。</w:t>
      </w:r>
    </w:p>
    <w:p w14:paraId="05AF1BFE" w14:textId="77777777" w:rsidR="00017B7C" w:rsidRDefault="00000000">
      <w:pPr>
        <w:pStyle w:val="a9"/>
      </w:pPr>
      <w:r>
        <w:t>证据覆盖度用于表示一条攻击链中有多少阶段被直接证据支撑。其形式可以表示为：</w:t>
      </w:r>
    </w:p>
    <w:p w14:paraId="29D19EE4" w14:textId="77777777" w:rsidR="00017B7C" w:rsidRDefault="00000000">
      <w:pPr>
        <w:pStyle w:val="a9"/>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ev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direct</m:t>
                  </m:r>
                </m:sub>
              </m:sSub>
            </m:num>
            <m:den>
              <m:sSub>
                <m:sSubPr>
                  <m:ctrlPr>
                    <w:rPr>
                      <w:rFonts w:ascii="Cambria Math" w:hAnsi="Cambria Math"/>
                    </w:rPr>
                  </m:ctrlPr>
                </m:sSubPr>
                <m:e>
                  <m:r>
                    <w:rPr>
                      <w:rFonts w:ascii="Cambria Math" w:hAnsi="Cambria Math"/>
                    </w:rPr>
                    <m:t>N</m:t>
                  </m:r>
                </m:e>
                <m:sub>
                  <m:r>
                    <w:rPr>
                      <w:rFonts w:ascii="Cambria Math" w:hAnsi="Cambria Math"/>
                    </w:rPr>
                    <m:t>stage</m:t>
                  </m:r>
                </m:sub>
              </m:sSub>
            </m:den>
          </m:f>
        </m:oMath>
      </m:oMathPara>
    </w:p>
    <w:p w14:paraId="69C94C78" w14:textId="77777777" w:rsidR="00017B7C" w:rsidRDefault="00000000">
      <w:r>
        <w:t>其中，</w:t>
      </w:r>
      <m:oMath>
        <m:sSub>
          <m:sSubPr>
            <m:ctrlPr>
              <w:rPr>
                <w:rFonts w:ascii="Cambria Math" w:hAnsi="Cambria Math"/>
              </w:rPr>
            </m:ctrlPr>
          </m:sSubPr>
          <m:e>
            <m:r>
              <w:rPr>
                <w:rFonts w:ascii="Cambria Math" w:hAnsi="Cambria Math"/>
              </w:rPr>
              <m:t>N</m:t>
            </m:r>
          </m:e>
          <m:sub>
            <m:r>
              <w:rPr>
                <w:rFonts w:ascii="Cambria Math" w:hAnsi="Cambria Math"/>
              </w:rPr>
              <m:t>direct</m:t>
            </m:r>
          </m:sub>
        </m:sSub>
      </m:oMath>
      <w:r>
        <w:t>表示具有直接证据支撑的阶段数量，</w:t>
      </w:r>
      <m:oMath>
        <m:sSub>
          <m:sSubPr>
            <m:ctrlPr>
              <w:rPr>
                <w:rFonts w:ascii="Cambria Math" w:hAnsi="Cambria Math"/>
              </w:rPr>
            </m:ctrlPr>
          </m:sSubPr>
          <m:e>
            <m:r>
              <w:rPr>
                <w:rFonts w:ascii="Cambria Math" w:hAnsi="Cambria Math"/>
              </w:rPr>
              <m:t>N</m:t>
            </m:r>
          </m:e>
          <m:sub>
            <m:r>
              <w:rPr>
                <w:rFonts w:ascii="Cambria Math" w:hAnsi="Cambria Math"/>
              </w:rPr>
              <m:t>stage</m:t>
            </m:r>
          </m:sub>
        </m:sSub>
      </m:oMath>
      <w:r>
        <w:t>表示候选链涉及的阶段数量。当</w:t>
      </w:r>
      <m:oMath>
        <m:sSub>
          <m:sSubPr>
            <m:ctrlPr>
              <w:rPr>
                <w:rFonts w:ascii="Cambria Math" w:hAnsi="Cambria Math"/>
              </w:rPr>
            </m:ctrlPr>
          </m:sSubPr>
          <m:e>
            <m:r>
              <w:rPr>
                <w:rFonts w:ascii="Cambria Math" w:hAnsi="Cambria Math"/>
              </w:rPr>
              <m:t>C</m:t>
            </m:r>
          </m:e>
          <m:sub>
            <m:r>
              <w:rPr>
                <w:rFonts w:ascii="Cambria Math" w:hAnsi="Cambria Math"/>
              </w:rPr>
              <m:t>ev</m:t>
            </m:r>
          </m:sub>
        </m:sSub>
      </m:oMath>
      <w:r>
        <w:t>较低时，即使路径风险分较高，系统也将其标记为证据不足链路，避免输出过度确定的检测结果。</w:t>
      </w:r>
    </w:p>
    <w:p w14:paraId="6A8787E9" w14:textId="77777777" w:rsidR="00017B7C" w:rsidRDefault="00000000">
      <w:pPr>
        <w:pStyle w:val="a9"/>
      </w:pPr>
      <w:r>
        <w:t xml:space="preserve">③ </w:t>
      </w:r>
      <w:r>
        <w:t>检测结果输出。</w:t>
      </w:r>
    </w:p>
    <w:p w14:paraId="6C75DA32" w14:textId="77777777" w:rsidR="00017B7C" w:rsidRDefault="00000000">
      <w:pPr>
        <w:pStyle w:val="a9"/>
      </w:pPr>
      <w:r>
        <w:t>检测结果至少包括链路编号、检测等级、涉及阶段、起始时间、结束时间、关键主机、关键账号、关键进程、关键域名、关键网络流、路径风险分、</w:t>
      </w:r>
      <w:r>
        <w:lastRenderedPageBreak/>
        <w:t>证据覆盖度、关键节点、关键边和缺失环节。检测结果面向检测系统使用，可以作为后续模型校准、规则生成和样本标注的数据基础，但本发明不依赖任何特定平台流程。</w:t>
      </w:r>
    </w:p>
    <w:p w14:paraId="0040A73B" w14:textId="77777777" w:rsidR="00017B7C" w:rsidRDefault="00000000">
      <w:pPr>
        <w:pStyle w:val="a9"/>
      </w:pPr>
      <w:r>
        <w:t>8</w:t>
      </w:r>
      <w:r>
        <w:t>、算法参数更新模块</w:t>
      </w:r>
    </w:p>
    <w:p w14:paraId="4B5C27AC" w14:textId="77777777" w:rsidR="00017B7C" w:rsidRDefault="00000000">
      <w:pPr>
        <w:pStyle w:val="a9"/>
      </w:pPr>
      <w:r>
        <w:t>算法参数更新模块先接收复核标签或历史检测结果，随后更新实体绑定阈值、正常基线、阶段转移权重和路径评分参数，最后将更新后的参数用于后续检测。通过该模块，系统能够在不改变整体流程的情况下适应不同网络环境。</w:t>
      </w:r>
    </w:p>
    <w:p w14:paraId="296AD5E4" w14:textId="77777777" w:rsidR="00017B7C" w:rsidRDefault="00000000">
      <w:pPr>
        <w:pStyle w:val="a9"/>
      </w:pPr>
      <w:r>
        <w:t xml:space="preserve">① </w:t>
      </w:r>
      <w:r>
        <w:t>基线更新。</w:t>
      </w:r>
    </w:p>
    <w:p w14:paraId="029C5CFB" w14:textId="77777777" w:rsidR="00017B7C" w:rsidRDefault="00000000">
      <w:pPr>
        <w:pStyle w:val="a9"/>
      </w:pPr>
      <w:r>
        <w:t>当某类重复出现的边被多次判定为正常链路时，系统提高其正常基线匹配分；当某类历史正常边出现在攻击链中时，系统降低其压缩优先级并提高风险保留等级。</w:t>
      </w:r>
    </w:p>
    <w:p w14:paraId="43A7B1CB" w14:textId="77777777" w:rsidR="00017B7C" w:rsidRDefault="00000000">
      <w:pPr>
        <w:pStyle w:val="a9"/>
      </w:pPr>
      <w:r>
        <w:t xml:space="preserve">② </w:t>
      </w:r>
      <w:r>
        <w:t>阈值更新。</w:t>
      </w:r>
    </w:p>
    <w:p w14:paraId="135CA3D3" w14:textId="77777777" w:rsidR="00017B7C" w:rsidRDefault="00000000">
      <w:pPr>
        <w:pStyle w:val="a9"/>
      </w:pPr>
      <w:r>
        <w:t>系统可以根据误报率、漏报率和证据覆盖度调整检测阈值。当误报率较高时，提高低风险可疑链路阈值；当漏报率较高时，降低种子筛选阈值或扩大候选子图范围。阈值更新可以人工配置，也可以根据固定周期统计自动建议。</w:t>
      </w:r>
    </w:p>
    <w:p w14:paraId="64058F6C" w14:textId="77777777" w:rsidR="00017B7C" w:rsidRDefault="00000000">
      <w:pPr>
        <w:pStyle w:val="a9"/>
      </w:pPr>
      <w:r>
        <w:t xml:space="preserve">③ </w:t>
      </w:r>
      <w:r>
        <w:t>阶段权重更新。</w:t>
      </w:r>
    </w:p>
    <w:p w14:paraId="445BFDCC" w14:textId="77777777" w:rsidR="00017B7C" w:rsidRDefault="00000000">
      <w:pPr>
        <w:pStyle w:val="a9"/>
      </w:pPr>
      <w:r>
        <w:t>对于被确认有效的阶段序列，系统提高对应阶段转移权重；对于多次被判定为正常的阶段组合，系统降低其风险权重。该过程使阶段约束更贴近实际攻击检测样本。</w:t>
      </w:r>
    </w:p>
    <w:p w14:paraId="1824539A" w14:textId="77777777" w:rsidR="00017B7C" w:rsidRDefault="00000000">
      <w:pPr>
        <w:pStyle w:val="a9"/>
      </w:pPr>
      <w:r>
        <w:t>9</w:t>
      </w:r>
      <w:r>
        <w:t>、装置组成</w:t>
      </w:r>
    </w:p>
    <w:p w14:paraId="44A80247" w14:textId="77777777" w:rsidR="00017B7C" w:rsidRDefault="00000000">
      <w:pPr>
        <w:pStyle w:val="a9"/>
      </w:pPr>
      <w:r>
        <w:t>本发明还提供一种端点溯源图日志和网络流联合的</w:t>
      </w:r>
      <w:r>
        <w:t>APT</w:t>
      </w:r>
      <w:r>
        <w:t>攻击链重构装置，</w:t>
      </w:r>
      <w:r>
        <w:lastRenderedPageBreak/>
        <w:t>包括多源数据输入与标准事件构造模块、跨源实体绑定与置信度计算模块、统一时序证据图构建模块、正常行为基线压缩模块、可疑种子筛选与异常子图生成模块、攻击阶段判定与路径搜索模块、链路风险判定与检测结果输出模块以及算法参数更新模块。</w:t>
      </w:r>
    </w:p>
    <w:p w14:paraId="7C6C34A2" w14:textId="77777777" w:rsidR="00017B7C" w:rsidRDefault="00000000">
      <w:pPr>
        <w:pStyle w:val="a9"/>
      </w:pPr>
      <w:r>
        <w:t>多源数据输入与标准事件构造模块用于接收原始端点日志、主机日志和网络流数据，并形成标准事件对象。跨源实体绑定与置信度计算模块用于将不同来源中的相同或相关实体进行绑定。统一时序证据图构建模块用于生成和维护检测图。正常行为基线压缩模块用于压缩低风险正常边。可疑种子筛选与异常子图生成模块用于从检测图中提取候选异常子图。攻击阶段判定与路径搜索模块用于生成候选攻击链。链路风险判定与检测结果输出模块用于输出检测结论和证据链。算法参数更新模块用于更新基线、阈值和评分参数。</w:t>
      </w:r>
    </w:p>
    <w:p w14:paraId="5E2C18B2" w14:textId="77777777" w:rsidR="00017B7C" w:rsidRDefault="00000000">
      <w:pPr>
        <w:pStyle w:val="a9"/>
      </w:pPr>
      <w:r>
        <w:t>10</w:t>
      </w:r>
      <w:r>
        <w:t>、具体检测示例</w:t>
      </w:r>
    </w:p>
    <w:p w14:paraId="5CBC4997" w14:textId="77777777" w:rsidR="00017B7C" w:rsidRDefault="00000000">
      <w:pPr>
        <w:pStyle w:val="a9"/>
      </w:pPr>
      <w:r>
        <w:t>以办公终端遭受钓鱼附件攻击为例。用户打开附件后，邮件客户端启动脚本解释器，脚本解释器写入临时可执行文件，随后该文件创建网络连接并访问异常域名。传统检测方法可能分别产生</w:t>
      </w:r>
      <w:r>
        <w:t>“</w:t>
      </w:r>
      <w:r>
        <w:t>脚本执行告警</w:t>
      </w:r>
      <w:r>
        <w:t>”“</w:t>
      </w:r>
      <w:r>
        <w:t>文件落地告警</w:t>
      </w:r>
      <w:r>
        <w:t>”</w:t>
      </w:r>
      <w:r>
        <w:t>和</w:t>
      </w:r>
      <w:r>
        <w:t>“</w:t>
      </w:r>
      <w:r>
        <w:t>异常外联告警</w:t>
      </w:r>
      <w:r>
        <w:t>”</w:t>
      </w:r>
      <w:r>
        <w:t>，但难以判断这些告警是否属于同一攻击行为。</w:t>
      </w:r>
    </w:p>
    <w:p w14:paraId="3E601965" w14:textId="77777777" w:rsidR="00017B7C" w:rsidRDefault="00000000">
      <w:pPr>
        <w:pStyle w:val="a9"/>
      </w:pPr>
      <w:r>
        <w:t>采用本发明后，邮件客户端、脚本解释器、临时文件、外联域名和网络流会话分别被构造成图节点；邮件客户端创建脚本解释器形成执行边，脚本解释器写入临时文件形成写入边，临时文件创建</w:t>
      </w:r>
      <w:r>
        <w:t>Socket</w:t>
      </w:r>
      <w:r>
        <w:t>形成连接边，</w:t>
      </w:r>
      <w:r>
        <w:t>Socket</w:t>
      </w:r>
      <w:r>
        <w:t>与网络流绑定形成同会话边。系统在候选子图中识别出执行、文件落地和命令控制阶段，计算路径风险得分并输出高风险攻击链候选。</w:t>
      </w:r>
    </w:p>
    <w:p w14:paraId="07BB14FB" w14:textId="77777777" w:rsidR="00017B7C" w:rsidRDefault="00000000">
      <w:pPr>
        <w:pStyle w:val="a9"/>
      </w:pPr>
      <w:r>
        <w:t>再以横向移动检测为例。某账号在短时间内登录多台主机，并在每台主机</w:t>
      </w:r>
      <w:r>
        <w:lastRenderedPageBreak/>
        <w:t>上触发远程执行进程，同时多台主机出现相同外联目标。系统将账号登录、远程执行、主机间连接和外联会话组合为候选子图。由于该路径满足时间连续性、账号一致性、跨主机关系和阶段转移约束，系统提高其链路风险得分，并输出横向移动攻击链候选。</w:t>
      </w:r>
    </w:p>
    <w:p w14:paraId="2F209A21" w14:textId="77777777" w:rsidR="00017B7C" w:rsidRDefault="00000000">
      <w:pPr>
        <w:pStyle w:val="a9"/>
      </w:pPr>
      <w:r>
        <w:t>11</w:t>
      </w:r>
      <w:r>
        <w:t>、保护范围说明</w:t>
      </w:r>
    </w:p>
    <w:p w14:paraId="10C5BFA1" w14:textId="77777777" w:rsidR="00017B7C" w:rsidRDefault="00000000">
      <w:pPr>
        <w:pStyle w:val="a9"/>
      </w:pPr>
      <w:r>
        <w:t>本发明的保护重点不局限于某一种日志格式、某一种网络流格式、某一个模型结构或某一组固定阈值，而在于一种面向</w:t>
      </w:r>
      <w:r>
        <w:t>APT</w:t>
      </w:r>
      <w:r>
        <w:t>检测的系统化算法流程：多源事件标准化、跨源实体绑定、统一时序证据图构建、正常基线压缩、可疑种子筛选、阶段约束路径搜索、链路风险判定和检测结果输出。不同厂商的端点日志、不同类型的网络流、不同图存储方式、不同评分模型和不同阈值配置，只要采用上述联合检测流程，均属于本发明的可替代实施方式。</w:t>
      </w:r>
    </w:p>
    <w:p w14:paraId="0D553C96" w14:textId="77777777" w:rsidR="00017B7C" w:rsidRDefault="00000000">
      <w:pPr>
        <w:pStyle w:val="a9"/>
      </w:pPr>
      <w:r>
        <w:t>12</w:t>
      </w:r>
      <w:r>
        <w:t>、检测特征向量构造模块</w:t>
      </w:r>
    </w:p>
    <w:p w14:paraId="1A0209B5" w14:textId="77777777" w:rsidR="00017B7C" w:rsidRDefault="00000000">
      <w:pPr>
        <w:pStyle w:val="a9"/>
      </w:pPr>
      <w:r>
        <w:t>检测特征向量构造模块先从统一时序证据图中提取节点特征、边特征、路径特征和子图特征，随后对不同粒度的特征进行归一化，最后形成用于异常评分、阶段判定和链路排序的检测特征向量。通过该模块，系统能够把端点行为、日志字段和网络流统计量转换为可计算的检测输入，从而有效克服原始日志难以直接参与算法判断的问题。</w:t>
      </w:r>
    </w:p>
    <w:p w14:paraId="5B3B159B" w14:textId="77777777" w:rsidR="00017B7C" w:rsidRDefault="00000000">
      <w:pPr>
        <w:pStyle w:val="a9"/>
      </w:pPr>
      <w:r>
        <w:t xml:space="preserve">① </w:t>
      </w:r>
      <w:r>
        <w:t>节点特征构造。</w:t>
      </w:r>
    </w:p>
    <w:p w14:paraId="04B8C5A3" w14:textId="77777777" w:rsidR="00017B7C" w:rsidRDefault="00000000">
      <w:pPr>
        <w:pStyle w:val="a9"/>
      </w:pPr>
      <w:r>
        <w:t>本阶段为每个节点构造节点特征。对于进程节点，特征包括进程名稀有度、命令行长度、命令行特殊字符比例、父进程稀有度、启动路径风险、启动账号权限、是否脚本解释器、是否系统目录外执行、是否短时创建网络连接等。对于文件节点，特征包括文件路径风险、文件扩展名、文件大小、</w:t>
      </w:r>
      <w:r>
        <w:lastRenderedPageBreak/>
        <w:t>文件写入进程风险、首次出现时间、是否临时目录、是否启动目录、是否被多个进程访问等。对于网络流节点，特征包括目的地址稀有度、目的端口稀有度、会话持续时间、上行字节比例、包长统计、连接周期性、域名长度、域名层级、证书摘要变化和历史访问频率等。</w:t>
      </w:r>
    </w:p>
    <w:p w14:paraId="3F82A806" w14:textId="77777777" w:rsidR="00017B7C" w:rsidRDefault="00000000">
      <w:pPr>
        <w:pStyle w:val="a9"/>
      </w:pPr>
      <w:r>
        <w:t xml:space="preserve">② </w:t>
      </w:r>
      <w:r>
        <w:t>边特征构造。</w:t>
      </w:r>
    </w:p>
    <w:p w14:paraId="1274D5A9" w14:textId="77777777" w:rsidR="00017B7C" w:rsidRDefault="00000000">
      <w:pPr>
        <w:pStyle w:val="a9"/>
      </w:pPr>
      <w:r>
        <w:t>本阶段为每条边构造边特征。边特征至少包括动作类型、时间间隔、来源类型、来源质量、主体节点风险、客体节点风险、是否跨主机、是否跨账号、是否跨权限、是否命中基线、是否首次出现、是否告警命中和是否阶段相关。边特征用于判断该边是否应被保留、压缩或作为攻击路径候选边。</w:t>
      </w:r>
    </w:p>
    <w:p w14:paraId="273561F4" w14:textId="77777777" w:rsidR="00017B7C" w:rsidRDefault="00000000">
      <w:pPr>
        <w:pStyle w:val="a9"/>
      </w:pPr>
      <w:r>
        <w:t xml:space="preserve">③ </w:t>
      </w:r>
      <w:r>
        <w:t>路径特征构造。</w:t>
      </w:r>
    </w:p>
    <w:p w14:paraId="45FB91E6" w14:textId="77777777" w:rsidR="00017B7C" w:rsidRDefault="00000000">
      <w:pPr>
        <w:pStyle w:val="a9"/>
      </w:pPr>
      <w:r>
        <w:t>本阶段为候选路径构造路径特征。路径特征至少包括路径长度、阶段数量、阶段顺序一致性、直接证据边数量、推断边数量、跨源证据数量、时间跨度、平均时间间隔、最大时间间隔、关键实体数量、正常边比例和高风险边比例。路径特征能够反映一条候选攻击链是否紧凑、是否连贯以及是否有足够多源证据支撑。</w:t>
      </w:r>
    </w:p>
    <w:p w14:paraId="5F19109A" w14:textId="77777777" w:rsidR="00017B7C" w:rsidRDefault="00000000">
      <w:pPr>
        <w:pStyle w:val="a9"/>
      </w:pPr>
      <w:r>
        <w:t xml:space="preserve">④ </w:t>
      </w:r>
      <w:r>
        <w:t>特征归一化。</w:t>
      </w:r>
    </w:p>
    <w:p w14:paraId="5F9EBAEF" w14:textId="77777777" w:rsidR="00017B7C" w:rsidRDefault="00000000">
      <w:pPr>
        <w:pStyle w:val="a9"/>
      </w:pPr>
      <w:r>
        <w:t>对于不同量纲的特征，系统采用归一化处理。频率类特征可以采用历史分位数归一化，时间类特征可以采用对数变换后归一化，布尔类特征可以采用</w:t>
      </w:r>
      <w:r>
        <w:t>0</w:t>
      </w:r>
      <w:r>
        <w:t>或</w:t>
      </w:r>
      <w:r>
        <w:t>1</w:t>
      </w:r>
      <w:r>
        <w:t>表示，类别类特征可以映射为预设编码。对于缺失特征，系统不以零值简单替代，而是同时增加缺失标记，以避免缺失字段被误认为低风险。</w:t>
      </w:r>
    </w:p>
    <w:p w14:paraId="67765E9B" w14:textId="77777777" w:rsidR="00017B7C" w:rsidRDefault="00000000">
      <w:pPr>
        <w:pStyle w:val="a9"/>
      </w:pPr>
      <w:r>
        <w:t>检测特征向量可以表示为：</w:t>
      </w:r>
    </w:p>
    <w:p w14:paraId="43183CD8" w14:textId="77777777" w:rsidR="00017B7C" w:rsidRDefault="00000000">
      <w:pPr>
        <w:pStyle w:val="a9"/>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m:t>
          </m:r>
        </m:oMath>
      </m:oMathPara>
    </w:p>
    <w:p w14:paraId="13E310D3" w14:textId="77777777" w:rsidR="00017B7C" w:rsidRDefault="00000000">
      <w:r>
        <w:lastRenderedPageBreak/>
        <w:t>其中，</w:t>
      </w:r>
      <m:oMath>
        <m:sSub>
          <m:sSubPr>
            <m:ctrlPr>
              <w:rPr>
                <w:rFonts w:ascii="Cambria Math" w:hAnsi="Cambria Math"/>
              </w:rPr>
            </m:ctrlPr>
          </m:sSubPr>
          <m:e>
            <m:r>
              <w:rPr>
                <w:rFonts w:ascii="Cambria Math" w:hAnsi="Cambria Math"/>
              </w:rPr>
              <m:t>X</m:t>
            </m:r>
          </m:e>
          <m:sub>
            <m:r>
              <w:rPr>
                <w:rFonts w:ascii="Cambria Math" w:hAnsi="Cambria Math"/>
              </w:rPr>
              <m:t>v</m:t>
            </m:r>
          </m:sub>
        </m:sSub>
      </m:oMath>
      <w:r>
        <w:t>表示节点统计特征，</w:t>
      </w:r>
      <m:oMath>
        <m:sSub>
          <m:sSubPr>
            <m:ctrlPr>
              <w:rPr>
                <w:rFonts w:ascii="Cambria Math" w:hAnsi="Cambria Math"/>
              </w:rPr>
            </m:ctrlPr>
          </m:sSubPr>
          <m:e>
            <m:r>
              <w:rPr>
                <w:rFonts w:ascii="Cambria Math" w:hAnsi="Cambria Math"/>
              </w:rPr>
              <m:t>X</m:t>
            </m:r>
          </m:e>
          <m:sub>
            <m:r>
              <w:rPr>
                <w:rFonts w:ascii="Cambria Math" w:hAnsi="Cambria Math"/>
              </w:rPr>
              <m:t>e</m:t>
            </m:r>
          </m:sub>
        </m:sSub>
      </m:oMath>
      <w:r>
        <w:t>表示边统计特征，</w:t>
      </w:r>
      <m:oMath>
        <m:sSub>
          <m:sSubPr>
            <m:ctrlPr>
              <w:rPr>
                <w:rFonts w:ascii="Cambria Math" w:hAnsi="Cambria Math"/>
              </w:rPr>
            </m:ctrlPr>
          </m:sSubPr>
          <m:e>
            <m:r>
              <w:rPr>
                <w:rFonts w:ascii="Cambria Math" w:hAnsi="Cambria Math"/>
              </w:rPr>
              <m:t>X</m:t>
            </m:r>
          </m:e>
          <m:sub>
            <m:r>
              <w:rPr>
                <w:rFonts w:ascii="Cambria Math" w:hAnsi="Cambria Math"/>
              </w:rPr>
              <m:t>t</m:t>
            </m:r>
          </m:sub>
        </m:sSub>
      </m:oMath>
      <w:r>
        <w:t>表示时间特征，</w:t>
      </w:r>
      <m:oMath>
        <m:sSub>
          <m:sSubPr>
            <m:ctrlPr>
              <w:rPr>
                <w:rFonts w:ascii="Cambria Math" w:hAnsi="Cambria Math"/>
              </w:rPr>
            </m:ctrlPr>
          </m:sSubPr>
          <m:e>
            <m:r>
              <w:rPr>
                <w:rFonts w:ascii="Cambria Math" w:hAnsi="Cambria Math"/>
              </w:rPr>
              <m:t>X</m:t>
            </m:r>
          </m:e>
          <m:sub>
            <m:r>
              <w:rPr>
                <w:rFonts w:ascii="Cambria Math" w:hAnsi="Cambria Math"/>
              </w:rPr>
              <m:t>s</m:t>
            </m:r>
          </m:sub>
        </m:sSub>
      </m:oMath>
      <w:r>
        <w:t>表示阶段特征，</w:t>
      </w:r>
      <m:oMath>
        <m:sSub>
          <m:sSubPr>
            <m:ctrlPr>
              <w:rPr>
                <w:rFonts w:ascii="Cambria Math" w:hAnsi="Cambria Math"/>
              </w:rPr>
            </m:ctrlPr>
          </m:sSubPr>
          <m:e>
            <m:r>
              <w:rPr>
                <w:rFonts w:ascii="Cambria Math" w:hAnsi="Cambria Math"/>
              </w:rPr>
              <m:t>X</m:t>
            </m:r>
          </m:e>
          <m:sub>
            <m:r>
              <w:rPr>
                <w:rFonts w:ascii="Cambria Math" w:hAnsi="Cambria Math"/>
              </w:rPr>
              <m:t>g</m:t>
            </m:r>
          </m:sub>
        </m:sSub>
      </m:oMath>
      <w:r>
        <w:t>表示子图结构特征。该向量可输入规则评分器、线性评分器、树模型或轻量图模型，本发明不限定具体模型形式。</w:t>
      </w:r>
    </w:p>
    <w:p w14:paraId="090926C7" w14:textId="77777777" w:rsidR="00017B7C" w:rsidRDefault="00000000">
      <w:pPr>
        <w:pStyle w:val="a9"/>
      </w:pPr>
      <w:r>
        <w:t>13</w:t>
      </w:r>
      <w:r>
        <w:t>、链路评分算法实现模块</w:t>
      </w:r>
    </w:p>
    <w:p w14:paraId="3F2155A4" w14:textId="77777777" w:rsidR="00017B7C" w:rsidRDefault="00000000">
      <w:pPr>
        <w:pStyle w:val="a9"/>
      </w:pPr>
      <w:r>
        <w:t>链路评分算法实现模块先对候选路径进行多维评分，随后将各维评分加权融合，最后根据检测阈值输出链路风险等级。通过该模块，系统能够对不同候选路径进行排序，从而优先输出更符合</w:t>
      </w:r>
      <w:r>
        <w:t>APT</w:t>
      </w:r>
      <w:r>
        <w:t>攻击特征的检测结果。</w:t>
      </w:r>
    </w:p>
    <w:p w14:paraId="7CDF5B00" w14:textId="77777777" w:rsidR="00017B7C" w:rsidRDefault="00000000">
      <w:pPr>
        <w:pStyle w:val="a9"/>
      </w:pPr>
      <w:r>
        <w:t xml:space="preserve">① </w:t>
      </w:r>
      <w:r>
        <w:t>证据强度评分。</w:t>
      </w:r>
    </w:p>
    <w:p w14:paraId="1FB31AD2" w14:textId="77777777" w:rsidR="00017B7C" w:rsidRDefault="00000000">
      <w:pPr>
        <w:pStyle w:val="a9"/>
      </w:pPr>
      <w:r>
        <w:t>本阶段计算路径中直接证据的强度。直接证据包括端点事件边、认证日志边、网络流边、域名解析边和告警命中边。若一条路径同时包含端点证据和网络流证据，则其证据强度高于仅由单一来源组成的路径。证据强度可表示为：</w:t>
      </w:r>
    </w:p>
    <w:p w14:paraId="35189BAB" w14:textId="77777777" w:rsidR="00017B7C" w:rsidRDefault="00000000">
      <w:pPr>
        <w:pStyle w:val="a9"/>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evidence</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e∈P</m:t>
                  </m:r>
                </m:sub>
                <m:sup/>
                <m:e>
                  <m:sSub>
                    <m:sSubPr>
                      <m:ctrlPr>
                        <w:rPr>
                          <w:rFonts w:ascii="Cambria Math" w:hAnsi="Cambria Math"/>
                        </w:rPr>
                      </m:ctrlPr>
                    </m:sSubPr>
                    <m:e>
                      <m:r>
                        <w:rPr>
                          <w:rFonts w:ascii="Cambria Math" w:hAnsi="Cambria Math"/>
                        </w:rPr>
                        <m:t>q</m:t>
                      </m:r>
                    </m:e>
                    <m:sub>
                      <m:r>
                        <w:rPr>
                          <w:rFonts w:ascii="Cambria Math" w:hAnsi="Cambria Math"/>
                        </w:rPr>
                        <m:t>e</m:t>
                      </m:r>
                    </m:sub>
                  </m:sSub>
                </m:e>
              </m:nary>
              <m:sSub>
                <m:sSubPr>
                  <m:ctrlPr>
                    <w:rPr>
                      <w:rFonts w:ascii="Cambria Math" w:hAnsi="Cambria Math"/>
                    </w:rPr>
                  </m:ctrlPr>
                </m:sSubPr>
                <m:e>
                  <m:r>
                    <w:rPr>
                      <w:rFonts w:ascii="Cambria Math" w:hAnsi="Cambria Math"/>
                    </w:rPr>
                    <m:t>r</m:t>
                  </m:r>
                </m:e>
                <m:sub>
                  <m:r>
                    <w:rPr>
                      <w:rFonts w:ascii="Cambria Math" w:hAnsi="Cambria Math"/>
                    </w:rPr>
                    <m:t>e</m:t>
                  </m:r>
                </m:sub>
              </m:sSub>
            </m:num>
            <m:den>
              <m:r>
                <w:rPr>
                  <w:rFonts w:ascii="Cambria Math" w:hAnsi="Cambria Math"/>
                </w:rPr>
                <m:t>|P|</m:t>
              </m:r>
            </m:den>
          </m:f>
        </m:oMath>
      </m:oMathPara>
    </w:p>
    <w:p w14:paraId="0C18BD80" w14:textId="77777777" w:rsidR="00017B7C" w:rsidRDefault="00000000">
      <w:r>
        <w:t>其中，</w:t>
      </w:r>
      <m:oMath>
        <m:sSub>
          <m:sSubPr>
            <m:ctrlPr>
              <w:rPr>
                <w:rFonts w:ascii="Cambria Math" w:hAnsi="Cambria Math"/>
              </w:rPr>
            </m:ctrlPr>
          </m:sSubPr>
          <m:e>
            <m:r>
              <w:rPr>
                <w:rFonts w:ascii="Cambria Math" w:hAnsi="Cambria Math"/>
              </w:rPr>
              <m:t>q</m:t>
            </m:r>
          </m:e>
          <m:sub>
            <m:r>
              <w:rPr>
                <w:rFonts w:ascii="Cambria Math" w:hAnsi="Cambria Math"/>
              </w:rPr>
              <m:t>e</m:t>
            </m:r>
          </m:sub>
        </m:sSub>
      </m:oMath>
      <w:r>
        <w:t>表示边</w:t>
      </w:r>
      <m:oMath>
        <m:r>
          <w:rPr>
            <w:rFonts w:ascii="Cambria Math" w:hAnsi="Cambria Math"/>
          </w:rPr>
          <m:t>e</m:t>
        </m:r>
      </m:oMath>
      <w:r>
        <w:t>的数据质量，</w:t>
      </w:r>
      <m:oMath>
        <m:sSub>
          <m:sSubPr>
            <m:ctrlPr>
              <w:rPr>
                <w:rFonts w:ascii="Cambria Math" w:hAnsi="Cambria Math"/>
              </w:rPr>
            </m:ctrlPr>
          </m:sSubPr>
          <m:e>
            <m:r>
              <w:rPr>
                <w:rFonts w:ascii="Cambria Math" w:hAnsi="Cambria Math"/>
              </w:rPr>
              <m:t>r</m:t>
            </m:r>
          </m:e>
          <m:sub>
            <m:r>
              <w:rPr>
                <w:rFonts w:ascii="Cambria Math" w:hAnsi="Cambria Math"/>
              </w:rPr>
              <m:t>e</m:t>
            </m:r>
          </m:sub>
        </m:sSub>
      </m:oMath>
      <w:r>
        <w:t>表示边</w:t>
      </w:r>
      <m:oMath>
        <m:r>
          <w:rPr>
            <w:rFonts w:ascii="Cambria Math" w:hAnsi="Cambria Math"/>
          </w:rPr>
          <m:t>e</m:t>
        </m:r>
      </m:oMath>
      <w:r>
        <w:t>的风险分，</w:t>
      </w:r>
      <m:oMath>
        <m:r>
          <w:rPr>
            <w:rFonts w:ascii="Cambria Math" w:hAnsi="Cambria Math"/>
          </w:rPr>
          <m:t>|P|</m:t>
        </m:r>
      </m:oMath>
      <w:r>
        <w:t>表示路径中的边数量。</w:t>
      </w:r>
    </w:p>
    <w:p w14:paraId="2C2A8AD4" w14:textId="77777777" w:rsidR="00017B7C" w:rsidRDefault="00000000">
      <w:pPr>
        <w:pStyle w:val="a9"/>
      </w:pPr>
      <w:r>
        <w:t xml:space="preserve">② </w:t>
      </w:r>
      <w:r>
        <w:t>时间连续性评分。</w:t>
      </w:r>
    </w:p>
    <w:p w14:paraId="771CAABF" w14:textId="77777777" w:rsidR="00017B7C" w:rsidRDefault="00000000">
      <w:pPr>
        <w:pStyle w:val="a9"/>
      </w:pPr>
      <w:r>
        <w:t>本阶段计算路径中相邻事件的时间关系。</w:t>
      </w:r>
      <w:r>
        <w:t>APT</w:t>
      </w:r>
      <w:r>
        <w:t>攻击可以是低频慢速行为，因此时间间隔并非越短越好。系统根据阶段类型设置合理时间间隔范围。例如执行到外联的时间间隔通常较短，初始访问到横向移动的时间间隔可以较长。时间连续性得分可由相邻边时间差与阶段允许时间差之间的匹配程度确定。</w:t>
      </w:r>
    </w:p>
    <w:p w14:paraId="21CF6962" w14:textId="77777777" w:rsidR="00017B7C" w:rsidRDefault="00000000">
      <w:pPr>
        <w:pStyle w:val="a9"/>
      </w:pPr>
      <w:r>
        <w:t xml:space="preserve">③ </w:t>
      </w:r>
      <w:r>
        <w:t>因果一致性评分。</w:t>
      </w:r>
    </w:p>
    <w:p w14:paraId="2D0AA227" w14:textId="77777777" w:rsidR="00017B7C" w:rsidRDefault="00000000">
      <w:pPr>
        <w:pStyle w:val="a9"/>
      </w:pPr>
      <w:r>
        <w:t>本阶段计算路径中的因果关系是否合理。若父进程先创建子进程，子进程再写入文件，文件再触发外联进程，则因果一致性较高；若事件之间只有同主机关系但没有明确动作依赖，则因果一致性较低。系统对直接因果边、</w:t>
      </w:r>
      <w:r>
        <w:lastRenderedPageBreak/>
        <w:t>跨源绑定边和推断候选边设置不同权重，使强证据链路优先于弱推断链路。</w:t>
      </w:r>
    </w:p>
    <w:p w14:paraId="0BFB8BF0" w14:textId="77777777" w:rsidR="00017B7C" w:rsidRDefault="00000000">
      <w:pPr>
        <w:pStyle w:val="a9"/>
      </w:pPr>
      <w:r>
        <w:t xml:space="preserve">④ </w:t>
      </w:r>
      <w:r>
        <w:t>阶段一致性评分。</w:t>
      </w:r>
    </w:p>
    <w:p w14:paraId="4C341A87" w14:textId="77777777" w:rsidR="00017B7C" w:rsidRDefault="00000000">
      <w:pPr>
        <w:pStyle w:val="a9"/>
      </w:pPr>
      <w:r>
        <w:t>本阶段计算路径阶段序列是否符合攻击过程。系统将候选路径中的边映射为阶段标签，并根据阶段转移矩阵计算阶段序列得分。若路径呈现</w:t>
      </w:r>
      <w:r>
        <w:t>“</w:t>
      </w:r>
      <w:r>
        <w:t>初始访问</w:t>
      </w:r>
      <w:r>
        <w:t>—</w:t>
      </w:r>
      <w:r>
        <w:t>执行</w:t>
      </w:r>
      <w:r>
        <w:t>—</w:t>
      </w:r>
      <w:r>
        <w:t>持久化</w:t>
      </w:r>
      <w:r>
        <w:t>—</w:t>
      </w:r>
      <w:r>
        <w:t>横向移动</w:t>
      </w:r>
      <w:r>
        <w:t>—</w:t>
      </w:r>
      <w:r>
        <w:t>命令控制</w:t>
      </w:r>
      <w:r>
        <w:t>—</w:t>
      </w:r>
      <w:r>
        <w:t>数据外传</w:t>
      </w:r>
      <w:r>
        <w:t>”</w:t>
      </w:r>
      <w:r>
        <w:t>中的合理子序列，则得分较高；若阶段顺序混乱或缺少必要前置行为，则得分降低。</w:t>
      </w:r>
    </w:p>
    <w:p w14:paraId="05EA8A8F" w14:textId="77777777" w:rsidR="00017B7C" w:rsidRDefault="00000000">
      <w:pPr>
        <w:pStyle w:val="a9"/>
      </w:pPr>
      <w:r>
        <w:t xml:space="preserve">⑤ </w:t>
      </w:r>
      <w:r>
        <w:t>综合链路评分。</w:t>
      </w:r>
    </w:p>
    <w:p w14:paraId="11D23771" w14:textId="77777777" w:rsidR="00017B7C" w:rsidRDefault="00000000">
      <w:pPr>
        <w:pStyle w:val="a9"/>
      </w:pPr>
      <w:r>
        <w:t>系统综合证据强度、时间连续性、因果一致性、阶段一致性和路径紧凑度得到最终链路风险分。综合评分可以采用如下形式：</w:t>
      </w:r>
    </w:p>
    <w:p w14:paraId="48A592F6" w14:textId="77777777" w:rsidR="00017B7C" w:rsidRDefault="00000000">
      <w:pPr>
        <w:pStyle w:val="a9"/>
      </w:pPr>
      <m:oMathPara>
        <m:oMathParaPr>
          <m:jc m:val="center"/>
        </m:oMathParaPr>
        <m:oMath>
          <m:r>
            <w:rPr>
              <w:rFonts w:ascii="Cambria Math" w:hAnsi="Cambria Math"/>
            </w:rPr>
            <m:t>Score(P)=</m:t>
          </m:r>
          <m:sSub>
            <m:sSubPr>
              <m:ctrlPr>
                <w:rPr>
                  <w:rFonts w:ascii="Cambria Math" w:hAnsi="Cambria Math"/>
                </w:rPr>
              </m:ctrlPr>
            </m:sSubPr>
            <m:e>
              <m:r>
                <w:rPr>
                  <w:rFonts w:ascii="Cambria Math" w:hAnsi="Cambria Math"/>
                </w:rPr>
                <m:t>θ</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evidence</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sSub>
            <m:sSubPr>
              <m:ctrlPr>
                <w:rPr>
                  <w:rFonts w:ascii="Cambria Math" w:hAnsi="Cambria Math"/>
                </w:rPr>
              </m:ctrlPr>
            </m:sSubPr>
            <m:e>
              <m:r>
                <w:rPr>
                  <w:rFonts w:ascii="Cambria Math" w:hAnsi="Cambria Math"/>
                </w:rPr>
                <m:t>S</m:t>
              </m:r>
            </m:e>
            <m:sub>
              <m:r>
                <w:rPr>
                  <w:rFonts w:ascii="Cambria Math" w:hAnsi="Cambria Math"/>
                </w:rPr>
                <m:t>time</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sSub>
            <m:sSubPr>
              <m:ctrlPr>
                <w:rPr>
                  <w:rFonts w:ascii="Cambria Math" w:hAnsi="Cambria Math"/>
                </w:rPr>
              </m:ctrlPr>
            </m:sSubPr>
            <m:e>
              <m:r>
                <w:rPr>
                  <w:rFonts w:ascii="Cambria Math" w:hAnsi="Cambria Math"/>
                </w:rPr>
                <m:t>S</m:t>
              </m:r>
            </m:e>
            <m:sub>
              <m:r>
                <w:rPr>
                  <w:rFonts w:ascii="Cambria Math" w:hAnsi="Cambria Math"/>
                </w:rPr>
                <m:t>causal</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4</m:t>
              </m:r>
            </m:sub>
          </m:sSub>
          <m:sSub>
            <m:sSubPr>
              <m:ctrlPr>
                <w:rPr>
                  <w:rFonts w:ascii="Cambria Math" w:hAnsi="Cambria Math"/>
                </w:rPr>
              </m:ctrlPr>
            </m:sSubPr>
            <m:e>
              <m:r>
                <w:rPr>
                  <w:rFonts w:ascii="Cambria Math" w:hAnsi="Cambria Math"/>
                </w:rPr>
                <m:t>S</m:t>
              </m:r>
            </m:e>
            <m:sub>
              <m:r>
                <w:rPr>
                  <w:rFonts w:ascii="Cambria Math" w:hAnsi="Cambria Math"/>
                </w:rPr>
                <m:t>stage</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5</m:t>
              </m:r>
            </m:sub>
          </m:sSub>
          <m:sSub>
            <m:sSubPr>
              <m:ctrlPr>
                <w:rPr>
                  <w:rFonts w:ascii="Cambria Math" w:hAnsi="Cambria Math"/>
                </w:rPr>
              </m:ctrlPr>
            </m:sSubPr>
            <m:e>
              <m:r>
                <w:rPr>
                  <w:rFonts w:ascii="Cambria Math" w:hAnsi="Cambria Math"/>
                </w:rPr>
                <m:t>S</m:t>
              </m:r>
            </m:e>
            <m:sub>
              <m:r>
                <w:rPr>
                  <w:rFonts w:ascii="Cambria Math" w:hAnsi="Cambria Math"/>
                </w:rPr>
                <m:t>compact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6</m:t>
              </m:r>
            </m:sub>
          </m:sSub>
          <m:sSub>
            <m:sSubPr>
              <m:ctrlPr>
                <w:rPr>
                  <w:rFonts w:ascii="Cambria Math" w:hAnsi="Cambria Math"/>
                </w:rPr>
              </m:ctrlPr>
            </m:sSubPr>
            <m:e>
              <m:r>
                <w:rPr>
                  <w:rFonts w:ascii="Cambria Math" w:hAnsi="Cambria Math"/>
                </w:rPr>
                <m:t>S</m:t>
              </m:r>
            </m:e>
            <m:sub>
              <m:r>
                <w:rPr>
                  <w:rFonts w:ascii="Cambria Math" w:hAnsi="Cambria Math"/>
                </w:rPr>
                <m:t>normal</m:t>
              </m:r>
            </m:sub>
          </m:sSub>
        </m:oMath>
      </m:oMathPara>
    </w:p>
    <w:p w14:paraId="1303C7F4" w14:textId="77777777" w:rsidR="00017B7C" w:rsidRDefault="00000000">
      <w:r>
        <w:t>其中，</w:t>
      </w:r>
      <m:oMath>
        <m:sSub>
          <m:sSubPr>
            <m:ctrlPr>
              <w:rPr>
                <w:rFonts w:ascii="Cambria Math" w:hAnsi="Cambria Math"/>
              </w:rPr>
            </m:ctrlPr>
          </m:sSubPr>
          <m:e>
            <m:r>
              <w:rPr>
                <w:rFonts w:ascii="Cambria Math" w:hAnsi="Cambria Math"/>
              </w:rPr>
              <m:t>S</m:t>
            </m:r>
          </m:e>
          <m:sub>
            <m:r>
              <w:rPr>
                <w:rFonts w:ascii="Cambria Math" w:hAnsi="Cambria Math"/>
              </w:rPr>
              <m:t>normal</m:t>
            </m:r>
          </m:sub>
        </m:sSub>
      </m:oMath>
      <w:r>
        <w:t>表示路径中正常基线边比例，</w:t>
      </w:r>
      <m:oMath>
        <m:sSub>
          <m:sSubPr>
            <m:ctrlPr>
              <w:rPr>
                <w:rFonts w:ascii="Cambria Math" w:hAnsi="Cambria Math"/>
              </w:rPr>
            </m:ctrlPr>
          </m:sSubPr>
          <m:e>
            <m:r>
              <w:rPr>
                <w:rFonts w:ascii="Cambria Math" w:hAnsi="Cambria Math"/>
              </w:rPr>
              <m:t>θ</m:t>
            </m:r>
          </m:e>
          <m:sub>
            <m:r>
              <w:rPr>
                <w:rFonts w:ascii="Cambria Math" w:hAnsi="Cambria Math"/>
              </w:rPr>
              <m:t>1</m:t>
            </m:r>
          </m:sub>
        </m:sSub>
      </m:oMath>
      <w:r>
        <w:t>至</w:t>
      </w:r>
      <m:oMath>
        <m:sSub>
          <m:sSubPr>
            <m:ctrlPr>
              <w:rPr>
                <w:rFonts w:ascii="Cambria Math" w:hAnsi="Cambria Math"/>
              </w:rPr>
            </m:ctrlPr>
          </m:sSubPr>
          <m:e>
            <m:r>
              <w:rPr>
                <w:rFonts w:ascii="Cambria Math" w:hAnsi="Cambria Math"/>
              </w:rPr>
              <m:t>θ</m:t>
            </m:r>
          </m:e>
          <m:sub>
            <m:r>
              <w:rPr>
                <w:rFonts w:ascii="Cambria Math" w:hAnsi="Cambria Math"/>
              </w:rPr>
              <m:t>6</m:t>
            </m:r>
          </m:sub>
        </m:sSub>
      </m:oMath>
      <w:r>
        <w:t>为权重参数。该公式体现了本发明的检测逻辑：证据越强、时间越连续、因果越合理、阶段越一致，则风险越高；正常基线边占比越高，则风险越低。</w:t>
      </w:r>
    </w:p>
    <w:p w14:paraId="131A944A" w14:textId="77777777" w:rsidR="00017B7C" w:rsidRDefault="00000000">
      <w:pPr>
        <w:pStyle w:val="a9"/>
      </w:pPr>
      <w:r>
        <w:t>14</w:t>
      </w:r>
      <w:r>
        <w:t>、检测阈值确定与误报抑制模块</w:t>
      </w:r>
    </w:p>
    <w:p w14:paraId="7DB79AA5" w14:textId="77777777" w:rsidR="00017B7C" w:rsidRDefault="00000000">
      <w:pPr>
        <w:pStyle w:val="a9"/>
      </w:pPr>
      <w:r>
        <w:t>检测阈值确定与误报抑制模块先根据历史正常数据和已知攻击样本确定初始阈值，随后在运行过程中根据误报情况和链路证据覆盖度调整阈值，最后通过多条件过滤降低误报。通过该模块，系统能够在不同网络环境下保持较稳定的检测效果。</w:t>
      </w:r>
    </w:p>
    <w:p w14:paraId="07B49BE3" w14:textId="77777777" w:rsidR="00017B7C" w:rsidRDefault="00000000">
      <w:pPr>
        <w:pStyle w:val="a9"/>
      </w:pPr>
      <w:r>
        <w:t xml:space="preserve">① </w:t>
      </w:r>
      <w:r>
        <w:t>初始阈值确定。</w:t>
      </w:r>
    </w:p>
    <w:p w14:paraId="36CD1554" w14:textId="77777777" w:rsidR="00017B7C" w:rsidRDefault="00000000">
      <w:pPr>
        <w:pStyle w:val="a9"/>
      </w:pPr>
      <w:r>
        <w:t>本阶段利用历史正常窗口计算正常链路风险分布，并选取高分位数作为初始可疑阈值。例如可将正常链路风险分的</w:t>
      </w:r>
      <w:r>
        <w:t>95%</w:t>
      </w:r>
      <w:r>
        <w:t>分位数作为低风险可疑阈值，将</w:t>
      </w:r>
      <w:r>
        <w:t>99%</w:t>
      </w:r>
      <w:r>
        <w:t>分位数作为高风险阈值。若存在已知攻击样本，则进一步根据攻击链得分分布调整阈值，使正常链路与攻击链之间形成较明显区分。</w:t>
      </w:r>
    </w:p>
    <w:p w14:paraId="74B80464" w14:textId="77777777" w:rsidR="00017B7C" w:rsidRDefault="00000000">
      <w:pPr>
        <w:pStyle w:val="a9"/>
      </w:pPr>
      <w:r>
        <w:lastRenderedPageBreak/>
        <w:t xml:space="preserve">② </w:t>
      </w:r>
      <w:r>
        <w:t>分层阈值设置。</w:t>
      </w:r>
    </w:p>
    <w:p w14:paraId="528D581A" w14:textId="77777777" w:rsidR="00017B7C" w:rsidRDefault="00000000">
      <w:pPr>
        <w:pStyle w:val="a9"/>
      </w:pPr>
      <w:r>
        <w:t>不同资产和不同账号的正常行为差异较大，因此系统采用分层阈值。对于核心服务器、域控主机、数据库主机和特权账号，系统采用较低检测阈值；对于普通办公主机和低权限账号，系统采用常规阈值；对于已知批处理任务、备份任务和运维脚本，系统结合时间窗口和执行主体设置专用阈值。分层阈值能够减少统一阈值造成的误报和漏报。</w:t>
      </w:r>
    </w:p>
    <w:p w14:paraId="1379CD51" w14:textId="77777777" w:rsidR="00017B7C" w:rsidRDefault="00000000">
      <w:pPr>
        <w:pStyle w:val="a9"/>
      </w:pPr>
      <w:r>
        <w:t xml:space="preserve">③ </w:t>
      </w:r>
      <w:r>
        <w:t>误报抑制。</w:t>
      </w:r>
    </w:p>
    <w:p w14:paraId="42C6572B" w14:textId="77777777" w:rsidR="00017B7C" w:rsidRDefault="00000000">
      <w:pPr>
        <w:pStyle w:val="a9"/>
      </w:pPr>
      <w:r>
        <w:t>本阶段通过多条件过滤抑制误报。</w:t>
      </w:r>
    </w:p>
    <w:p w14:paraId="4E0AF60B" w14:textId="77777777" w:rsidR="00017B7C" w:rsidRDefault="00000000">
      <w:pPr>
        <w:pStyle w:val="a9"/>
      </w:pPr>
      <w:r>
        <w:t>第一步，过滤高基线匹配路径。若路径中大部分边均与正常基线高度匹配，且无高风险种子节点，则降低输出等级。</w:t>
      </w:r>
    </w:p>
    <w:p w14:paraId="158DF3A4" w14:textId="77777777" w:rsidR="00017B7C" w:rsidRDefault="00000000">
      <w:pPr>
        <w:pStyle w:val="a9"/>
      </w:pPr>
      <w:r>
        <w:t>第二步，过滤证据覆盖不足路径。若路径风险分较高但直接证据阶段过少，则输出为证据不足链路，不直接作为高风险攻击链。</w:t>
      </w:r>
    </w:p>
    <w:p w14:paraId="01C8A6C9" w14:textId="77777777" w:rsidR="00017B7C" w:rsidRDefault="00000000">
      <w:pPr>
        <w:pStyle w:val="a9"/>
      </w:pPr>
      <w:r>
        <w:t>第三步，过滤孤立单点异常。若某节点异常分高，但无法在时间窗口内连接到其他端点证据或网络流证据，则系统仅输出单点可疑，不形成攻击链结论。</w:t>
      </w:r>
    </w:p>
    <w:p w14:paraId="09B31615" w14:textId="77777777" w:rsidR="00017B7C" w:rsidRDefault="00000000">
      <w:pPr>
        <w:pStyle w:val="a9"/>
      </w:pPr>
      <w:r>
        <w:t>第四步，过滤重复相似路径。若多个候选路径共享相同关键节点和相同阶段序列，则系统仅保留得分最高的主路径，其余路径作为相似候选记录。</w:t>
      </w:r>
    </w:p>
    <w:p w14:paraId="3662EBCA" w14:textId="77777777" w:rsidR="00017B7C" w:rsidRDefault="00000000">
      <w:pPr>
        <w:pStyle w:val="a9"/>
      </w:pPr>
      <w:r>
        <w:t>15</w:t>
      </w:r>
      <w:r>
        <w:t>、在线检测与离线检测结合模块</w:t>
      </w:r>
    </w:p>
    <w:p w14:paraId="0BFC6BC9" w14:textId="77777777" w:rsidR="00017B7C" w:rsidRDefault="00000000">
      <w:pPr>
        <w:pStyle w:val="a9"/>
      </w:pPr>
      <w:r>
        <w:t>在线检测与离线检测结合模块先在短时间窗口内执行快速检测，随后在长时间窗口内执行链路补全，最后将短窗口结果和长窗口结果合并。通过该模块，系统能够兼顾检测时效性和</w:t>
      </w:r>
      <w:r>
        <w:t>APT</w:t>
      </w:r>
      <w:r>
        <w:t>低频行为识别能力。</w:t>
      </w:r>
    </w:p>
    <w:p w14:paraId="6DBFA62E" w14:textId="77777777" w:rsidR="00017B7C" w:rsidRDefault="00000000">
      <w:pPr>
        <w:pStyle w:val="a9"/>
      </w:pPr>
      <w:r>
        <w:t xml:space="preserve">① </w:t>
      </w:r>
      <w:r>
        <w:t>在线快速检测。</w:t>
      </w:r>
    </w:p>
    <w:p w14:paraId="6C571A56" w14:textId="77777777" w:rsidR="00017B7C" w:rsidRDefault="00000000">
      <w:pPr>
        <w:pStyle w:val="a9"/>
      </w:pPr>
      <w:r>
        <w:t>在线检测面向实时或准实时场景。系统在短窗口中执行字段标准化、实体</w:t>
      </w:r>
      <w:r>
        <w:lastRenderedPageBreak/>
        <w:t>绑定、边风险评分和可疑种子筛选。若出现明显高风险链路，例如异常脚本执行后立即外联、特权账号异常登录后远程执行、敏感文件访问后出现外传流量，则系统快速输出高风险候选链。</w:t>
      </w:r>
    </w:p>
    <w:p w14:paraId="649A372C" w14:textId="77777777" w:rsidR="00017B7C" w:rsidRDefault="00000000">
      <w:pPr>
        <w:pStyle w:val="a9"/>
      </w:pPr>
      <w:r>
        <w:t xml:space="preserve">② </w:t>
      </w:r>
      <w:r>
        <w:t>离线链路补全。</w:t>
      </w:r>
    </w:p>
    <w:p w14:paraId="0B437C69" w14:textId="77777777" w:rsidR="00017B7C" w:rsidRDefault="00000000">
      <w:pPr>
        <w:pStyle w:val="a9"/>
      </w:pPr>
      <w:r>
        <w:t>离线检测面向长周期</w:t>
      </w:r>
      <w:r>
        <w:t>APT</w:t>
      </w:r>
      <w:r>
        <w:t>行为。系统在较长窗口中重新计算实体关系、阶段序列和路径风险，对低频、分散、慢速出现的攻击行为进行补全。例如某账号在数天内逐步访问多台主机，单日看风险不高，但长周期内呈现明显横向移动趋势，离线检测即可将其组合为候选攻击链。</w:t>
      </w:r>
    </w:p>
    <w:p w14:paraId="3708916D" w14:textId="77777777" w:rsidR="00017B7C" w:rsidRDefault="00000000">
      <w:pPr>
        <w:pStyle w:val="a9"/>
      </w:pPr>
      <w:r>
        <w:t xml:space="preserve">③ </w:t>
      </w:r>
      <w:r>
        <w:t>结果合并。</w:t>
      </w:r>
    </w:p>
    <w:p w14:paraId="5EBFCECC" w14:textId="77777777" w:rsidR="00017B7C" w:rsidRDefault="00000000">
      <w:pPr>
        <w:pStyle w:val="a9"/>
      </w:pPr>
      <w:r>
        <w:t>在线检测结果和离线检测结果按照链路编号、关键实体、阶段序列和时间范围进行合并。若离线检测发现在线检测遗漏的前置阶段或后续阶段，则更新攻击链结构和链路得分；若离线检测确认某在线候选链缺乏后续证据，则降低其风险等级。通过在线与离线结合，本发明能够同时支持快速发现和完整重构。</w:t>
      </w:r>
    </w:p>
    <w:p w14:paraId="7F6D5DE5" w14:textId="77777777" w:rsidR="00017B7C" w:rsidRDefault="00000000">
      <w:pPr>
        <w:pStyle w:val="a9"/>
      </w:pPr>
      <w:r>
        <w:t>本发明未详尽之处，均可参见现有技术。</w:t>
      </w:r>
    </w:p>
    <w:p w14:paraId="21B808B6" w14:textId="77777777" w:rsidR="00017B7C" w:rsidRDefault="00000000">
      <w:pPr>
        <w:pStyle w:val="a9"/>
      </w:pPr>
      <w:r>
        <w:t>本发明具体有益效果为：</w:t>
      </w:r>
    </w:p>
    <w:p w14:paraId="2C3304F6" w14:textId="77777777" w:rsidR="00017B7C" w:rsidRDefault="00000000">
      <w:pPr>
        <w:pStyle w:val="a9"/>
      </w:pPr>
      <w:r>
        <w:t>本发明构建了一种端点溯源图日志和网络流联合的</w:t>
      </w:r>
      <w:r>
        <w:t>APT</w:t>
      </w:r>
      <w:r>
        <w:t>检测架构，通过标准事件构造、跨源实体绑定和统一时序证据图构建，结合正常行为基线压缩和阶段约束路径搜索，在一个统一的架构中实现了端点行为、主机日志和网络流会话的联合检测，有效解决了单源检测证据断裂的瓶颈，提高了</w:t>
      </w:r>
      <w:r>
        <w:t>APT</w:t>
      </w:r>
      <w:r>
        <w:t>攻击链识别完整性。</w:t>
      </w:r>
    </w:p>
    <w:p w14:paraId="3C5218D9" w14:textId="77777777" w:rsidR="00017B7C" w:rsidRDefault="00000000">
      <w:pPr>
        <w:pStyle w:val="a9"/>
      </w:pPr>
      <w:r>
        <w:t>本发明在数据建模层面通过统一实体标识构建了跨源时序证据图，在算法层面引入可疑种子筛选、异常子图生成和路径风险评分，从而解决了大规</w:t>
      </w:r>
      <w:r>
        <w:lastRenderedPageBreak/>
        <w:t>模溯源图搜索空间过大、正常行为边干扰检测和告警难以关联的问题。</w:t>
      </w:r>
    </w:p>
    <w:p w14:paraId="3490219D" w14:textId="77777777" w:rsidR="00017B7C" w:rsidRDefault="00000000">
      <w:pPr>
        <w:pStyle w:val="a9"/>
      </w:pPr>
      <w:r>
        <w:t>本发明通过正常基线压缩，利用历史频率、周期稳定性、时间一致性和业务上下文对低风险正常边进行摘要化处理，解决了检测图规模过大和候选路径过多的问题，同时保留攻击相关边和原始证据引用。</w:t>
      </w:r>
    </w:p>
    <w:p w14:paraId="18664347" w14:textId="77777777" w:rsidR="00017B7C" w:rsidRDefault="00000000">
      <w:pPr>
        <w:pStyle w:val="a9"/>
      </w:pPr>
      <w:r>
        <w:t>本发明建立链路风险判定与证据覆盖度计算机制，通过阶段一致性、证据强度、时间连续性、因果关系和路径紧凑度综合判定候选攻击链，解决了普通异常检测只能输出异常点的问题，提高了检测结果的可解释性和复核可靠性。</w:t>
      </w:r>
    </w:p>
    <w:p w14:paraId="262FB9F6" w14:textId="77777777" w:rsidR="00017B7C" w:rsidRDefault="00000000">
      <w:pPr>
        <w:pStyle w:val="2"/>
      </w:pPr>
      <w:bookmarkStart w:id="4" w:name="附图说明"/>
      <w:bookmarkEnd w:id="4"/>
      <w:r>
        <w:t>附图说明</w:t>
      </w:r>
    </w:p>
    <w:p w14:paraId="0FFDCA91" w14:textId="77777777" w:rsidR="00017B7C" w:rsidRDefault="00000000">
      <w:r>
        <w:t>构成本申请的一部分的说明书附图用来提供对本申请的进一步理解，本申请的示意性实施例及其说明用于解释本申请，并不构成对本申请的不当限定。</w:t>
      </w:r>
    </w:p>
    <w:p w14:paraId="1650D8FF" w14:textId="77777777" w:rsidR="00017B7C" w:rsidRDefault="00000000">
      <w:pPr>
        <w:pStyle w:val="a9"/>
      </w:pPr>
      <w:r>
        <w:t>图一为本发明端点溯源图日志和网络流联合的</w:t>
      </w:r>
      <w:r>
        <w:t>APT</w:t>
      </w:r>
      <w:r>
        <w:t>攻击链重构方法及装置的系统示意图；</w:t>
      </w:r>
    </w:p>
    <w:p w14:paraId="36A16A95" w14:textId="77777777" w:rsidR="00017B7C" w:rsidRDefault="00000000">
      <w:pPr>
        <w:pStyle w:val="a9"/>
      </w:pPr>
      <w:r>
        <w:t>图二为本发明端点溯源图日志和网络流联合的</w:t>
      </w:r>
      <w:r>
        <w:t>APT</w:t>
      </w:r>
      <w:r>
        <w:t>攻击链重构方法及装置的系统流程图；</w:t>
      </w:r>
    </w:p>
    <w:p w14:paraId="69829597" w14:textId="77777777" w:rsidR="00017B7C" w:rsidRDefault="00000000">
      <w:pPr>
        <w:pStyle w:val="a9"/>
      </w:pPr>
      <w:r>
        <w:t>图三为本发明端点溯源图日志和网络流联合的</w:t>
      </w:r>
      <w:r>
        <w:t>APT</w:t>
      </w:r>
      <w:r>
        <w:t>攻击链重构方法及装置的检测效果图；</w:t>
      </w:r>
    </w:p>
    <w:p w14:paraId="51B1BC4A" w14:textId="77777777" w:rsidR="00017B7C" w:rsidRDefault="00000000">
      <w:pPr>
        <w:pStyle w:val="2"/>
      </w:pPr>
      <w:bookmarkStart w:id="5" w:name="具体实施方式"/>
      <w:bookmarkEnd w:id="5"/>
      <w:r>
        <w:t>具体实施方式</w:t>
      </w:r>
    </w:p>
    <w:p w14:paraId="2A913515" w14:textId="77777777" w:rsidR="00017B7C" w:rsidRDefault="00000000">
      <w:r>
        <w:t>图</w:t>
      </w:r>
      <w:r>
        <w:t>1</w:t>
      </w:r>
    </w:p>
    <w:p w14:paraId="1FAE2413" w14:textId="77777777" w:rsidR="00017B7C" w:rsidRDefault="00000000">
      <w:r>
        <w:rPr>
          <w:noProof/>
        </w:rPr>
        <w:lastRenderedPageBreak/>
        <w:drawing>
          <wp:inline distT="0" distB="0" distL="0" distR="0" wp14:anchorId="6F74BE62" wp14:editId="6CB8B55A">
            <wp:extent cx="5753100" cy="3237839"/>
            <wp:effectExtent l="0" t="0" r="0" b="0"/>
            <wp:docPr id="1" name="Picture" descr="图一 系统示意图"/>
            <wp:cNvGraphicFramePr/>
            <a:graphic xmlns:a="http://schemas.openxmlformats.org/drawingml/2006/main">
              <a:graphicData uri="http://schemas.openxmlformats.org/drawingml/2006/picture">
                <pic:pic xmlns:pic="http://schemas.openxmlformats.org/drawingml/2006/picture">
                  <pic:nvPicPr>
                    <pic:cNvPr id="0" name="Picture" descr="figures_imagegen_三图/图1_系统示意图_imagegen.png"/>
                    <pic:cNvPicPr>
                      <a:picLocks noChangeAspect="1" noChangeArrowheads="1"/>
                    </pic:cNvPicPr>
                  </pic:nvPicPr>
                  <pic:blipFill>
                    <a:blip r:embed="rId7"/>
                    <a:stretch>
                      <a:fillRect/>
                    </a:stretch>
                  </pic:blipFill>
                  <pic:spPr bwMode="auto">
                    <a:xfrm>
                      <a:off x="0" y="0"/>
                      <a:ext cx="5753100" cy="3237839"/>
                    </a:xfrm>
                    <a:prstGeom prst="rect">
                      <a:avLst/>
                    </a:prstGeom>
                    <a:noFill/>
                    <a:ln w="9525">
                      <a:noFill/>
                      <a:headEnd/>
                      <a:tailEnd/>
                    </a:ln>
                  </pic:spPr>
                </pic:pic>
              </a:graphicData>
            </a:graphic>
          </wp:inline>
        </w:drawing>
      </w:r>
    </w:p>
    <w:p w14:paraId="76AA9E47" w14:textId="77777777" w:rsidR="00017B7C" w:rsidRDefault="00000000">
      <w:r>
        <w:t>图一</w:t>
      </w:r>
      <w:r>
        <w:t xml:space="preserve"> </w:t>
      </w:r>
      <w:r>
        <w:t>系统示意图</w:t>
      </w:r>
    </w:p>
    <w:p w14:paraId="0A86FE89" w14:textId="77777777" w:rsidR="00017B7C" w:rsidRDefault="00000000">
      <w:pPr>
        <w:pStyle w:val="a9"/>
      </w:pPr>
      <w:r>
        <w:t>图</w:t>
      </w:r>
      <w:r>
        <w:t>2</w:t>
      </w:r>
    </w:p>
    <w:p w14:paraId="77DF813E" w14:textId="77777777" w:rsidR="00017B7C" w:rsidRDefault="00000000">
      <w:r>
        <w:rPr>
          <w:noProof/>
        </w:rPr>
        <w:drawing>
          <wp:inline distT="0" distB="0" distL="0" distR="0" wp14:anchorId="0512325D" wp14:editId="2622C638">
            <wp:extent cx="5753100" cy="3237839"/>
            <wp:effectExtent l="0" t="0" r="0" b="0"/>
            <wp:docPr id="1196641917" name="Picture" descr="图二 系统流程图"/>
            <wp:cNvGraphicFramePr/>
            <a:graphic xmlns:a="http://schemas.openxmlformats.org/drawingml/2006/main">
              <a:graphicData uri="http://schemas.openxmlformats.org/drawingml/2006/picture">
                <pic:pic xmlns:pic="http://schemas.openxmlformats.org/drawingml/2006/picture">
                  <pic:nvPicPr>
                    <pic:cNvPr id="0" name="Picture" descr="figures_imagegen_三图/图2_系统流程图_imagegen.png"/>
                    <pic:cNvPicPr>
                      <a:picLocks noChangeAspect="1" noChangeArrowheads="1"/>
                    </pic:cNvPicPr>
                  </pic:nvPicPr>
                  <pic:blipFill>
                    <a:blip r:embed="rId8"/>
                    <a:stretch>
                      <a:fillRect/>
                    </a:stretch>
                  </pic:blipFill>
                  <pic:spPr bwMode="auto">
                    <a:xfrm>
                      <a:off x="0" y="0"/>
                      <a:ext cx="5753100" cy="3237839"/>
                    </a:xfrm>
                    <a:prstGeom prst="rect">
                      <a:avLst/>
                    </a:prstGeom>
                    <a:noFill/>
                    <a:ln w="9525">
                      <a:noFill/>
                      <a:headEnd/>
                      <a:tailEnd/>
                    </a:ln>
                  </pic:spPr>
                </pic:pic>
              </a:graphicData>
            </a:graphic>
          </wp:inline>
        </w:drawing>
      </w:r>
    </w:p>
    <w:p w14:paraId="546E1F8F" w14:textId="77777777" w:rsidR="00017B7C" w:rsidRDefault="00000000">
      <w:r>
        <w:t>图二</w:t>
      </w:r>
      <w:r>
        <w:t xml:space="preserve"> </w:t>
      </w:r>
      <w:r>
        <w:t>系统流程图</w:t>
      </w:r>
    </w:p>
    <w:p w14:paraId="1FBD8A7E" w14:textId="77777777" w:rsidR="00017B7C" w:rsidRDefault="00000000">
      <w:pPr>
        <w:pStyle w:val="a9"/>
      </w:pPr>
      <w:r>
        <w:t>图</w:t>
      </w:r>
      <w:r>
        <w:t>3</w:t>
      </w:r>
    </w:p>
    <w:p w14:paraId="4576B992" w14:textId="77777777" w:rsidR="00017B7C" w:rsidRDefault="00000000">
      <w:r>
        <w:rPr>
          <w:noProof/>
        </w:rPr>
        <w:lastRenderedPageBreak/>
        <w:drawing>
          <wp:inline distT="0" distB="0" distL="0" distR="0" wp14:anchorId="1F1B212C" wp14:editId="6ED44BC1">
            <wp:extent cx="5753100" cy="3237839"/>
            <wp:effectExtent l="0" t="0" r="0" b="0"/>
            <wp:docPr id="836410670" name="Picture" descr="图三 效果图"/>
            <wp:cNvGraphicFramePr/>
            <a:graphic xmlns:a="http://schemas.openxmlformats.org/drawingml/2006/main">
              <a:graphicData uri="http://schemas.openxmlformats.org/drawingml/2006/picture">
                <pic:pic xmlns:pic="http://schemas.openxmlformats.org/drawingml/2006/picture">
                  <pic:nvPicPr>
                    <pic:cNvPr id="0" name="Picture" descr="figures_imagegen_三图/图3_效果图_imagegen.png"/>
                    <pic:cNvPicPr>
                      <a:picLocks noChangeAspect="1" noChangeArrowheads="1"/>
                    </pic:cNvPicPr>
                  </pic:nvPicPr>
                  <pic:blipFill>
                    <a:blip r:embed="rId9"/>
                    <a:stretch>
                      <a:fillRect/>
                    </a:stretch>
                  </pic:blipFill>
                  <pic:spPr bwMode="auto">
                    <a:xfrm>
                      <a:off x="0" y="0"/>
                      <a:ext cx="5753100" cy="3237839"/>
                    </a:xfrm>
                    <a:prstGeom prst="rect">
                      <a:avLst/>
                    </a:prstGeom>
                    <a:noFill/>
                    <a:ln w="9525">
                      <a:noFill/>
                      <a:headEnd/>
                      <a:tailEnd/>
                    </a:ln>
                  </pic:spPr>
                </pic:pic>
              </a:graphicData>
            </a:graphic>
          </wp:inline>
        </w:drawing>
      </w:r>
    </w:p>
    <w:p w14:paraId="76B9FFE9" w14:textId="77777777" w:rsidR="00017B7C" w:rsidRDefault="00000000">
      <w:r>
        <w:t>图三</w:t>
      </w:r>
      <w:r>
        <w:t xml:space="preserve"> </w:t>
      </w:r>
      <w:r>
        <w:t>效果图</w:t>
      </w:r>
    </w:p>
    <w:p w14:paraId="589B80BC" w14:textId="77777777" w:rsidR="00017B7C" w:rsidRDefault="00000000">
      <w:pPr>
        <w:pStyle w:val="a9"/>
      </w:pPr>
      <w:r>
        <w:t>本发明提出了端点溯源图日志和网络流联合的</w:t>
      </w:r>
      <w:r>
        <w:t>APT</w:t>
      </w:r>
      <w:r>
        <w:t>攻击链重构方法及装置。</w:t>
      </w:r>
    </w:p>
    <w:p w14:paraId="60A68622" w14:textId="77777777" w:rsidR="00017B7C" w:rsidRDefault="00000000">
      <w:pPr>
        <w:pStyle w:val="a9"/>
      </w:pPr>
      <w:r>
        <w:t>主要是先通过多源数据输入与标准事件构造形成统一事件对象，再利用跨源实体绑定与置信度计算建立端点行为和网络流会话之间的关联，接着通过统一时序证据图构建、正常行为基线压缩和可疑种子筛选生成候选异常子图，最后通过攻击阶段判定、路径搜索和链路风险评分输出</w:t>
      </w:r>
      <w:r>
        <w:t>APT</w:t>
      </w:r>
      <w:r>
        <w:t>攻击链检测结果，使得系统能够从大量端点日志和网络流中识别具有因果关系和阶段连续性的攻击链，从而提高</w:t>
      </w:r>
      <w:r>
        <w:t>APT</w:t>
      </w:r>
      <w:r>
        <w:t>检测准确性、降低无关正常行为干扰并增强检测结果解释能力。</w:t>
      </w:r>
    </w:p>
    <w:sectPr w:rsidR="00017B7C" w:rsidSect="00CA3788">
      <w:footerReference w:type="default" r:id="rId10"/>
      <w:headerReference w:type="first" r:id="rId11"/>
      <w:footerReference w:type="first" r:id="rId12"/>
      <w:pgSz w:w="11906" w:h="16838" w:code="9"/>
      <w:pgMar w:top="1418" w:right="1304" w:bottom="1134" w:left="1531" w:header="851"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16381" w14:textId="77777777" w:rsidR="007957B2" w:rsidRDefault="007957B2">
      <w:r>
        <w:separator/>
      </w:r>
    </w:p>
  </w:endnote>
  <w:endnote w:type="continuationSeparator" w:id="0">
    <w:p w14:paraId="43456AAD" w14:textId="77777777" w:rsidR="007957B2" w:rsidRDefault="00795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FKai-SB">
    <w:charset w:val="88"/>
    <w:family w:val="script"/>
    <w:pitch w:val="fixed"/>
    <w:sig w:usb0="00000003" w:usb1="080E0000" w:usb2="00000016" w:usb3="00000000" w:csb0="00100001" w:csb1="00000000"/>
  </w:font>
  <w:font w:name="仿宋_GB2312">
    <w:panose1 w:val="02010609030101010101"/>
    <w:charset w:val="86"/>
    <w:family w:val="modern"/>
    <w:pitch w:val="fixed"/>
    <w:sig w:usb0="00000001" w:usb1="080E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_GB2312">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B4151" w14:textId="77777777" w:rsidR="00000000" w:rsidRDefault="00000000">
    <w:pPr>
      <w:pStyle w:val="a3"/>
      <w:tabs>
        <w:tab w:val="clear" w:pos="4153"/>
        <w:tab w:val="clear" w:pos="8306"/>
        <w:tab w:val="center" w:pos="4450"/>
      </w:tabs>
      <w:spacing w:line="200" w:lineRule="exact"/>
      <w:rPr>
        <w:rFonts w:ascii="黑体" w:eastAsia="黑体"/>
      </w:rPr>
    </w:pPr>
    <w:r>
      <w:rPr>
        <w:rFonts w:ascii="黑体" w:eastAsia="黑体"/>
      </w:rPr>
      <w:tab/>
    </w:r>
    <w:r>
      <w:rPr>
        <w:rStyle w:val="aa"/>
      </w:rPr>
      <w:fldChar w:fldCharType="begin"/>
    </w:r>
    <w:r>
      <w:rPr>
        <w:rStyle w:val="aa"/>
      </w:rPr>
      <w:instrText xml:space="preserve"> PAGE </w:instrText>
    </w:r>
    <w:r>
      <w:rPr>
        <w:rStyle w:val="aa"/>
      </w:rPr>
      <w:fldChar w:fldCharType="separate"/>
    </w:r>
    <w:r>
      <w:rPr>
        <w:rStyle w:val="aa"/>
        <w:noProof/>
      </w:rPr>
      <w:t>18</w:t>
    </w:r>
    <w:r>
      <w:rPr>
        <w:rStyle w:val="a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740F" w14:textId="77777777" w:rsidR="00000000" w:rsidRDefault="00000000">
    <w:pPr>
      <w:pStyle w:val="a3"/>
      <w:tabs>
        <w:tab w:val="clear" w:pos="4153"/>
        <w:tab w:val="clear" w:pos="8306"/>
        <w:tab w:val="center" w:pos="4450"/>
      </w:tabs>
      <w:spacing w:line="200" w:lineRule="exact"/>
    </w:pPr>
    <w:r>
      <w:rPr>
        <w:rFonts w:ascii="黑体" w:eastAsia="黑体"/>
      </w:rPr>
      <w:tab/>
    </w:r>
    <w:r>
      <w:rPr>
        <w:rFonts w:ascii="黑体" w:eastAsia="黑体"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A0D9" w14:textId="77777777" w:rsidR="007957B2" w:rsidRDefault="007957B2">
      <w:r>
        <w:separator/>
      </w:r>
    </w:p>
  </w:footnote>
  <w:footnote w:type="continuationSeparator" w:id="0">
    <w:p w14:paraId="3D6D137F" w14:textId="77777777" w:rsidR="007957B2" w:rsidRDefault="00795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BB5B" w14:textId="77777777" w:rsidR="00000000" w:rsidRDefault="00000000" w:rsidP="00231CDE">
    <w:pPr>
      <w:pStyle w:val="a7"/>
    </w:pPr>
    <w:r>
      <w:rPr>
        <w:rFonts w:eastAsia="黑体" w:hint="eastAsia"/>
        <w:spacing w:val="90"/>
        <w:sz w:val="28"/>
      </w:rP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E93F0"/>
    <w:multiLevelType w:val="multilevel"/>
    <w:tmpl w:val="FA4A9F9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5979B6FB"/>
    <w:multiLevelType w:val="singleLevel"/>
    <w:tmpl w:val="5979B6FB"/>
    <w:lvl w:ilvl="0">
      <w:start w:val="1"/>
      <w:numFmt w:val="decimal"/>
      <w:pStyle w:val="MTDisplayEquation"/>
      <w:suff w:val="nothing"/>
      <w:lvlText w:val="%1）"/>
      <w:lvlJc w:val="left"/>
    </w:lvl>
  </w:abstractNum>
  <w:abstractNum w:abstractNumId="2" w15:restartNumberingAfterBreak="0">
    <w:nsid w:val="7F9A1E4A"/>
    <w:multiLevelType w:val="multilevel"/>
    <w:tmpl w:val="4C7CA646"/>
    <w:lvl w:ilvl="0">
      <w:start w:val="1"/>
      <w:numFmt w:val="none"/>
      <w:pStyle w:val="projectheading2"/>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98812968">
    <w:abstractNumId w:val="1"/>
  </w:num>
  <w:num w:numId="2" w16cid:durableId="899824267">
    <w:abstractNumId w:val="2"/>
  </w:num>
  <w:num w:numId="3" w16cid:durableId="395788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17B7C"/>
    <w:rsid w:val="00436AAC"/>
    <w:rsid w:val="004E29B3"/>
    <w:rsid w:val="00580DE1"/>
    <w:rsid w:val="00590D07"/>
    <w:rsid w:val="00784D58"/>
    <w:rsid w:val="007957B2"/>
    <w:rsid w:val="008D6863"/>
    <w:rsid w:val="00B86B75"/>
    <w:rsid w:val="00BC48D5"/>
    <w:rsid w:val="00C36279"/>
    <w:rsid w:val="00E23705"/>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6A65C"/>
  <w15:docId w15:val="{FF05C07C-E598-45DD-BA43-D8B3DB0CE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073"/>
    <w:pPr>
      <w:widowControl w:val="0"/>
      <w:jc w:val="both"/>
    </w:pPr>
    <w:rPr>
      <w:kern w:val="2"/>
      <w:sz w:val="21"/>
    </w:rPr>
  </w:style>
  <w:style w:type="paragraph" w:styleId="1">
    <w:name w:val="heading 1"/>
    <w:aliases w:val="本发明所属技术领域,H1,Normal + Font: Helvetica,Bold,Space Before 12 pt,Not Bold,DocAltHd,h1,1st level,Section Head,l1,章标题,1,no pg,I1,l1+toc 1,heading 1,1. heading 1,标准章,app heading 1,Huvudrubrik,R1,H11,Otsikko 1,Sec1,h11,1st level1,h12,1st level2,h13"/>
    <w:basedOn w:val="a"/>
    <w:next w:val="a"/>
    <w:link w:val="10"/>
    <w:qFormat/>
    <w:rsid w:val="009C7F6F"/>
    <w:pPr>
      <w:keepNext/>
      <w:keepLines/>
      <w:spacing w:before="340" w:after="330" w:line="578" w:lineRule="auto"/>
      <w:outlineLvl w:val="0"/>
    </w:pPr>
    <w:rPr>
      <w:b/>
      <w:bCs/>
      <w:kern w:val="44"/>
      <w:sz w:val="44"/>
      <w:szCs w:val="44"/>
    </w:rPr>
  </w:style>
  <w:style w:type="paragraph" w:styleId="2">
    <w:name w:val="heading 2"/>
    <w:aliases w:val="H2,2nd level,h2,2,Header 2,heading 2+ Indent: Left 0.25 in,Titre2,l2,Level 2 Head,heading 2,sect 1.2,prop2,PIM2,Heading 21,UNDERRUBRIK 1-2,level 2,I2,l2+toc 2,12,Heading 3 2,1.1  heading 2,Head2A,õberschrift 2,第一层条,Head 2,Underrubrik1,chn"/>
    <w:basedOn w:val="a"/>
    <w:next w:val="Body"/>
    <w:link w:val="20"/>
    <w:autoRedefine/>
    <w:qFormat/>
    <w:rsid w:val="00EE7D8C"/>
    <w:pPr>
      <w:spacing w:beforeLines="150" w:before="468" w:afterLines="50" w:after="156" w:line="360" w:lineRule="auto"/>
      <w:outlineLvl w:val="1"/>
    </w:pPr>
    <w:rPr>
      <w:rFonts w:eastAsia="黑体"/>
      <w:b/>
      <w:kern w:val="0"/>
      <w:sz w:val="30"/>
      <w:szCs w:val="30"/>
    </w:rPr>
  </w:style>
  <w:style w:type="paragraph" w:styleId="3">
    <w:name w:val="heading 3"/>
    <w:basedOn w:val="a"/>
    <w:next w:val="Body"/>
    <w:link w:val="30"/>
    <w:autoRedefine/>
    <w:qFormat/>
    <w:rsid w:val="00EE7D8C"/>
    <w:pPr>
      <w:spacing w:beforeLines="150" w:before="468" w:afterLines="20" w:after="62" w:line="360" w:lineRule="auto"/>
      <w:ind w:left="280"/>
      <w:outlineLvl w:val="2"/>
    </w:pPr>
    <w:rPr>
      <w:rFonts w:eastAsia="黑体"/>
      <w:b/>
      <w:color w:val="000000"/>
      <w:kern w:val="0"/>
      <w:sz w:val="28"/>
      <w:szCs w:val="28"/>
    </w:rPr>
  </w:style>
  <w:style w:type="paragraph" w:styleId="4">
    <w:name w:val="heading 4"/>
    <w:basedOn w:val="a"/>
    <w:next w:val="a"/>
    <w:link w:val="40"/>
    <w:autoRedefine/>
    <w:qFormat/>
    <w:rsid w:val="00EE7D8C"/>
    <w:pPr>
      <w:spacing w:beforeLines="100" w:afterLines="50" w:line="480" w:lineRule="atLeast"/>
      <w:ind w:left="1043"/>
      <w:outlineLvl w:val="3"/>
    </w:pPr>
    <w:rPr>
      <w:rFonts w:ascii="黑体" w:eastAsia="黑体" w:hAnsi="宋体"/>
      <w:color w:val="000000"/>
      <w:kern w:val="0"/>
      <w:sz w:val="28"/>
    </w:rPr>
  </w:style>
  <w:style w:type="paragraph" w:styleId="5">
    <w:name w:val="heading 5"/>
    <w:basedOn w:val="a"/>
    <w:next w:val="a"/>
    <w:link w:val="50"/>
    <w:autoRedefine/>
    <w:qFormat/>
    <w:rsid w:val="00EE7D8C"/>
    <w:pPr>
      <w:spacing w:line="480" w:lineRule="exact"/>
      <w:ind w:left="1043"/>
      <w:outlineLvl w:val="4"/>
    </w:pPr>
    <w:rPr>
      <w:kern w:val="0"/>
      <w:sz w:val="28"/>
    </w:rPr>
  </w:style>
  <w:style w:type="paragraph" w:styleId="6">
    <w:name w:val="heading 6"/>
    <w:basedOn w:val="a"/>
    <w:next w:val="a"/>
    <w:link w:val="60"/>
    <w:autoRedefine/>
    <w:qFormat/>
    <w:rsid w:val="00EE7D8C"/>
    <w:pPr>
      <w:spacing w:line="480" w:lineRule="exact"/>
      <w:ind w:left="1043"/>
      <w:jc w:val="left"/>
      <w:outlineLvl w:val="5"/>
    </w:pPr>
    <w:rPr>
      <w:color w:val="000000"/>
      <w:kern w:val="0"/>
      <w:sz w:val="28"/>
    </w:rPr>
  </w:style>
  <w:style w:type="paragraph" w:styleId="7">
    <w:name w:val="heading 7"/>
    <w:basedOn w:val="a"/>
    <w:next w:val="a"/>
    <w:link w:val="70"/>
    <w:autoRedefine/>
    <w:qFormat/>
    <w:rsid w:val="00EE7D8C"/>
    <w:pPr>
      <w:spacing w:line="480" w:lineRule="exact"/>
      <w:ind w:left="1443" w:hanging="400"/>
      <w:outlineLvl w:val="6"/>
    </w:pPr>
    <w:rPr>
      <w:color w:val="000000"/>
      <w:kern w:val="0"/>
      <w:sz w:val="28"/>
    </w:rPr>
  </w:style>
  <w:style w:type="paragraph" w:styleId="8">
    <w:name w:val="heading 8"/>
    <w:basedOn w:val="a"/>
    <w:next w:val="a"/>
    <w:link w:val="80"/>
    <w:autoRedefine/>
    <w:qFormat/>
    <w:rsid w:val="00EE7D8C"/>
    <w:pPr>
      <w:spacing w:line="480" w:lineRule="exact"/>
      <w:ind w:left="1443" w:hanging="400"/>
      <w:jc w:val="left"/>
      <w:outlineLvl w:val="7"/>
    </w:pPr>
    <w:rPr>
      <w:rFonts w:ascii="Arial" w:hAnsi="Arial"/>
      <w:kern w:val="0"/>
      <w:sz w:val="28"/>
    </w:rPr>
  </w:style>
  <w:style w:type="paragraph" w:styleId="9">
    <w:name w:val="heading 9"/>
    <w:basedOn w:val="a"/>
    <w:next w:val="a"/>
    <w:link w:val="90"/>
    <w:autoRedefine/>
    <w:qFormat/>
    <w:rsid w:val="00EE7D8C"/>
    <w:pPr>
      <w:spacing w:line="480" w:lineRule="exact"/>
      <w:ind w:left="1443" w:hanging="400"/>
      <w:jc w:val="left"/>
      <w:outlineLvl w:val="8"/>
    </w:pPr>
    <w:rPr>
      <w:rFonts w:ascii="Arial" w:hAnsi="Arial"/>
      <w:kern w:val="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C7F6F"/>
    <w:pPr>
      <w:tabs>
        <w:tab w:val="center" w:pos="4153"/>
        <w:tab w:val="right" w:pos="8306"/>
      </w:tabs>
      <w:snapToGrid w:val="0"/>
      <w:jc w:val="left"/>
    </w:pPr>
    <w:rPr>
      <w:sz w:val="18"/>
    </w:rPr>
  </w:style>
  <w:style w:type="paragraph" w:styleId="a5">
    <w:name w:val="Balloon Text"/>
    <w:basedOn w:val="a"/>
    <w:link w:val="a6"/>
    <w:rsid w:val="009C7F6F"/>
    <w:rPr>
      <w:sz w:val="18"/>
      <w:szCs w:val="18"/>
    </w:rPr>
  </w:style>
  <w:style w:type="paragraph" w:styleId="a7">
    <w:name w:val="header"/>
    <w:basedOn w:val="a"/>
    <w:link w:val="a8"/>
    <w:uiPriority w:val="99"/>
    <w:rsid w:val="009C7F6F"/>
    <w:pPr>
      <w:pBdr>
        <w:bottom w:val="single" w:sz="6" w:space="1" w:color="auto"/>
      </w:pBdr>
      <w:tabs>
        <w:tab w:val="center" w:pos="4153"/>
        <w:tab w:val="right" w:pos="8306"/>
      </w:tabs>
      <w:snapToGrid w:val="0"/>
      <w:jc w:val="center"/>
    </w:pPr>
    <w:rPr>
      <w:sz w:val="18"/>
      <w:szCs w:val="18"/>
    </w:rPr>
  </w:style>
  <w:style w:type="paragraph" w:styleId="a9">
    <w:name w:val="Body Text"/>
    <w:basedOn w:val="a"/>
    <w:rsid w:val="009C7F6F"/>
    <w:rPr>
      <w:sz w:val="28"/>
    </w:rPr>
  </w:style>
  <w:style w:type="character" w:styleId="aa">
    <w:name w:val="page number"/>
    <w:basedOn w:val="a0"/>
    <w:rsid w:val="009C7F6F"/>
  </w:style>
  <w:style w:type="paragraph" w:styleId="ab">
    <w:name w:val="Body Text Indent"/>
    <w:basedOn w:val="a"/>
    <w:rsid w:val="009C7F6F"/>
    <w:pPr>
      <w:spacing w:after="120"/>
      <w:ind w:leftChars="200" w:left="420"/>
    </w:pPr>
  </w:style>
  <w:style w:type="paragraph" w:customStyle="1" w:styleId="ac">
    <w:name w:val="說明書內文"/>
    <w:rsid w:val="009C7F6F"/>
    <w:pPr>
      <w:widowControl w:val="0"/>
      <w:ind w:firstLineChars="150" w:firstLine="420"/>
    </w:pPr>
    <w:rPr>
      <w:rFonts w:eastAsia="DFKai-SB"/>
      <w:noProof/>
      <w:kern w:val="28"/>
      <w:sz w:val="28"/>
      <w:lang w:eastAsia="zh-TW"/>
    </w:rPr>
  </w:style>
  <w:style w:type="paragraph" w:styleId="21">
    <w:name w:val="Body Text 2"/>
    <w:basedOn w:val="a"/>
    <w:rsid w:val="009C7F6F"/>
    <w:pPr>
      <w:spacing w:line="500" w:lineRule="exact"/>
    </w:pPr>
    <w:rPr>
      <w:rFonts w:eastAsia="仿宋_GB2312"/>
      <w:sz w:val="28"/>
      <w:szCs w:val="24"/>
    </w:rPr>
  </w:style>
  <w:style w:type="paragraph" w:styleId="22">
    <w:name w:val="Body Text Indent 2"/>
    <w:basedOn w:val="a"/>
    <w:rsid w:val="009C7F6F"/>
    <w:pPr>
      <w:spacing w:before="360" w:line="540" w:lineRule="exact"/>
      <w:ind w:firstLineChars="200" w:firstLine="560"/>
    </w:pPr>
    <w:rPr>
      <w:sz w:val="28"/>
    </w:rPr>
  </w:style>
  <w:style w:type="character" w:styleId="ad">
    <w:name w:val="Hyperlink"/>
    <w:basedOn w:val="a0"/>
    <w:uiPriority w:val="99"/>
    <w:rsid w:val="009C7F6F"/>
    <w:rPr>
      <w:color w:val="669900"/>
      <w:u w:val="single"/>
    </w:rPr>
  </w:style>
  <w:style w:type="paragraph" w:customStyle="1" w:styleId="jie">
    <w:name w:val="jie"/>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1">
    <w:name w:val="biao1"/>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duanluo">
    <w:name w:val="duanluo"/>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tou">
    <w:name w:val="biaotou"/>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e">
    <w:name w:val="Plain Text"/>
    <w:basedOn w:val="a"/>
    <w:link w:val="af"/>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f0">
    <w:name w:val="Normal (Web)"/>
    <w:basedOn w:val="a"/>
    <w:uiPriority w:val="99"/>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Char">
    <w:name w:val="Char"/>
    <w:basedOn w:val="a"/>
    <w:rsid w:val="00E6645F"/>
    <w:rPr>
      <w:rFonts w:ascii="Tahoma" w:hAnsi="Tahoma"/>
      <w:sz w:val="24"/>
    </w:rPr>
  </w:style>
  <w:style w:type="character" w:styleId="af1">
    <w:name w:val="annotation reference"/>
    <w:basedOn w:val="a0"/>
    <w:uiPriority w:val="99"/>
    <w:semiHidden/>
    <w:rsid w:val="003809F7"/>
    <w:rPr>
      <w:sz w:val="21"/>
      <w:szCs w:val="21"/>
    </w:rPr>
  </w:style>
  <w:style w:type="paragraph" w:styleId="af2">
    <w:name w:val="annotation text"/>
    <w:basedOn w:val="a"/>
    <w:link w:val="af3"/>
    <w:uiPriority w:val="99"/>
    <w:semiHidden/>
    <w:rsid w:val="003809F7"/>
    <w:pPr>
      <w:jc w:val="left"/>
    </w:pPr>
  </w:style>
  <w:style w:type="paragraph" w:styleId="af4">
    <w:name w:val="annotation subject"/>
    <w:basedOn w:val="af2"/>
    <w:next w:val="af2"/>
    <w:link w:val="af5"/>
    <w:uiPriority w:val="99"/>
    <w:semiHidden/>
    <w:rsid w:val="003809F7"/>
    <w:rPr>
      <w:b/>
      <w:bCs/>
    </w:rPr>
  </w:style>
  <w:style w:type="character" w:customStyle="1" w:styleId="line181">
    <w:name w:val="line181"/>
    <w:basedOn w:val="a0"/>
    <w:rsid w:val="00B10178"/>
  </w:style>
  <w:style w:type="paragraph" w:customStyle="1" w:styleId="CM5">
    <w:name w:val="CM5"/>
    <w:basedOn w:val="a"/>
    <w:next w:val="a"/>
    <w:rsid w:val="00AD4CFC"/>
    <w:pPr>
      <w:autoSpaceDE w:val="0"/>
      <w:autoSpaceDN w:val="0"/>
      <w:adjustRightInd w:val="0"/>
      <w:spacing w:after="190"/>
      <w:jc w:val="left"/>
    </w:pPr>
    <w:rPr>
      <w:rFonts w:ascii="Arial" w:hAnsi="Arial"/>
      <w:kern w:val="0"/>
      <w:sz w:val="24"/>
      <w:szCs w:val="24"/>
    </w:rPr>
  </w:style>
  <w:style w:type="character" w:styleId="af6">
    <w:name w:val="Emphasis"/>
    <w:basedOn w:val="a0"/>
    <w:uiPriority w:val="20"/>
    <w:qFormat/>
    <w:rsid w:val="00146B64"/>
    <w:rPr>
      <w:b w:val="0"/>
      <w:bCs w:val="0"/>
      <w:i w:val="0"/>
      <w:iCs w:val="0"/>
      <w:color w:val="CC0033"/>
    </w:rPr>
  </w:style>
  <w:style w:type="paragraph" w:customStyle="1" w:styleId="2CharChar">
    <w:name w:val="默认段落字体2 Char Char"/>
    <w:aliases w:val="默认段落字体 Para Char Char Char Char Char Char Char Char Char Char Char Char Char Char Char Char Char Char Char Char Char Char Char Char Char Char Char Char Char Char Char Char Char Char Char Char Char Char"/>
    <w:basedOn w:val="a"/>
    <w:rsid w:val="004169FB"/>
    <w:rPr>
      <w:rFonts w:ascii="Tahoma" w:hAnsi="Tahoma"/>
      <w:sz w:val="24"/>
    </w:rPr>
  </w:style>
  <w:style w:type="character" w:styleId="af7">
    <w:name w:val="line number"/>
    <w:basedOn w:val="a0"/>
    <w:rsid w:val="00235278"/>
  </w:style>
  <w:style w:type="paragraph" w:styleId="af8">
    <w:name w:val="Revision"/>
    <w:hidden/>
    <w:uiPriority w:val="99"/>
    <w:semiHidden/>
    <w:rsid w:val="00CF1667"/>
    <w:rPr>
      <w:kern w:val="2"/>
      <w:sz w:val="21"/>
    </w:rPr>
  </w:style>
  <w:style w:type="paragraph" w:customStyle="1" w:styleId="xinxitext">
    <w:name w:val="xinxitext"/>
    <w:basedOn w:val="a"/>
    <w:qFormat/>
    <w:rsid w:val="00E33A66"/>
    <w:pPr>
      <w:widowControl/>
      <w:spacing w:before="100" w:beforeAutospacing="1" w:after="100" w:afterAutospacing="1"/>
      <w:jc w:val="left"/>
    </w:pPr>
    <w:rPr>
      <w:rFonts w:ascii="_GB2312" w:hAnsi="_GB2312"/>
      <w:kern w:val="0"/>
      <w:sz w:val="18"/>
      <w:szCs w:val="18"/>
    </w:rPr>
  </w:style>
  <w:style w:type="character" w:customStyle="1" w:styleId="apple-converted-space">
    <w:name w:val="apple-converted-space"/>
    <w:basedOn w:val="a0"/>
    <w:rsid w:val="00CF50E3"/>
  </w:style>
  <w:style w:type="character" w:customStyle="1" w:styleId="af3">
    <w:name w:val="批注文字 字符"/>
    <w:basedOn w:val="a0"/>
    <w:link w:val="af2"/>
    <w:uiPriority w:val="99"/>
    <w:semiHidden/>
    <w:rsid w:val="003F25AA"/>
    <w:rPr>
      <w:kern w:val="2"/>
      <w:sz w:val="21"/>
    </w:rPr>
  </w:style>
  <w:style w:type="paragraph" w:styleId="af9">
    <w:name w:val="List Paragraph"/>
    <w:basedOn w:val="a"/>
    <w:link w:val="afa"/>
    <w:uiPriority w:val="34"/>
    <w:qFormat/>
    <w:rsid w:val="00983A39"/>
    <w:pPr>
      <w:ind w:firstLineChars="200" w:firstLine="420"/>
    </w:pPr>
  </w:style>
  <w:style w:type="paragraph" w:styleId="HTML">
    <w:name w:val="HTML Preformatted"/>
    <w:basedOn w:val="a"/>
    <w:link w:val="HTML0"/>
    <w:uiPriority w:val="99"/>
    <w:unhideWhenUsed/>
    <w:rsid w:val="00C475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C47595"/>
    <w:rPr>
      <w:rFonts w:ascii="宋体" w:hAnsi="宋体" w:cs="宋体"/>
      <w:sz w:val="24"/>
      <w:szCs w:val="24"/>
    </w:rPr>
  </w:style>
  <w:style w:type="character" w:customStyle="1" w:styleId="fontstyle01">
    <w:name w:val="fontstyle01"/>
    <w:basedOn w:val="a0"/>
    <w:rsid w:val="000B45B2"/>
    <w:rPr>
      <w:rFonts w:ascii="宋体" w:eastAsia="宋体" w:hAnsi="宋体" w:hint="eastAsia"/>
      <w:b w:val="0"/>
      <w:bCs w:val="0"/>
      <w:i w:val="0"/>
      <w:iCs w:val="0"/>
      <w:color w:val="000000"/>
      <w:sz w:val="24"/>
      <w:szCs w:val="24"/>
    </w:rPr>
  </w:style>
  <w:style w:type="table" w:styleId="afb">
    <w:name w:val="Table Grid"/>
    <w:basedOn w:val="a1"/>
    <w:rsid w:val="00404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列表段落 字符"/>
    <w:basedOn w:val="a0"/>
    <w:link w:val="af9"/>
    <w:uiPriority w:val="99"/>
    <w:qFormat/>
    <w:rsid w:val="00F94C4D"/>
    <w:rPr>
      <w:kern w:val="2"/>
      <w:sz w:val="21"/>
    </w:rPr>
  </w:style>
  <w:style w:type="paragraph" w:customStyle="1" w:styleId="11">
    <w:name w:val="正文1"/>
    <w:qFormat/>
    <w:rsid w:val="00F94C4D"/>
    <w:pPr>
      <w:widowControl w:val="0"/>
      <w:jc w:val="both"/>
    </w:pPr>
    <w:rPr>
      <w:kern w:val="2"/>
      <w:sz w:val="21"/>
      <w:szCs w:val="21"/>
    </w:rPr>
  </w:style>
  <w:style w:type="character" w:styleId="afc">
    <w:name w:val="FollowedHyperlink"/>
    <w:basedOn w:val="a0"/>
    <w:semiHidden/>
    <w:unhideWhenUsed/>
    <w:rsid w:val="008E5976"/>
    <w:rPr>
      <w:color w:val="800080" w:themeColor="followedHyperlink"/>
      <w:u w:val="single"/>
    </w:rPr>
  </w:style>
  <w:style w:type="character" w:styleId="afd">
    <w:name w:val="Placeholder Text"/>
    <w:basedOn w:val="a0"/>
    <w:uiPriority w:val="99"/>
    <w:semiHidden/>
    <w:rsid w:val="004B7388"/>
    <w:rPr>
      <w:color w:val="808080"/>
    </w:rPr>
  </w:style>
  <w:style w:type="paragraph" w:customStyle="1" w:styleId="MTDisplayEquation">
    <w:name w:val="MTDisplayEquation"/>
    <w:basedOn w:val="a"/>
    <w:next w:val="a"/>
    <w:qFormat/>
    <w:rsid w:val="00817693"/>
    <w:pPr>
      <w:numPr>
        <w:numId w:val="1"/>
      </w:numPr>
      <w:tabs>
        <w:tab w:val="center" w:pos="4820"/>
        <w:tab w:val="right" w:pos="9640"/>
      </w:tabs>
      <w:spacing w:line="360" w:lineRule="auto"/>
      <w:ind w:firstLineChars="200" w:firstLine="480"/>
    </w:pPr>
    <w:rPr>
      <w:rFonts w:asciiTheme="minorEastAsia" w:eastAsiaTheme="minorEastAsia" w:hAnsiTheme="minorEastAsia" w:cs="宋体"/>
      <w:color w:val="000000" w:themeColor="text1"/>
      <w:sz w:val="24"/>
      <w:szCs w:val="24"/>
    </w:rPr>
  </w:style>
  <w:style w:type="paragraph" w:customStyle="1" w:styleId="AMDisplayEquation">
    <w:name w:val="AMDisplayEquation"/>
    <w:basedOn w:val="a"/>
    <w:next w:val="a"/>
    <w:link w:val="AMDisplayEquation0"/>
    <w:rsid w:val="00D91758"/>
    <w:pPr>
      <w:tabs>
        <w:tab w:val="center" w:pos="4160"/>
        <w:tab w:val="right" w:pos="8300"/>
      </w:tabs>
    </w:pPr>
    <w:rPr>
      <w:rFonts w:asciiTheme="minorHAnsi" w:eastAsiaTheme="minorEastAsia" w:hAnsiTheme="minorHAnsi" w:cstheme="minorBidi"/>
      <w:szCs w:val="22"/>
    </w:rPr>
  </w:style>
  <w:style w:type="character" w:customStyle="1" w:styleId="AMDisplayEquation0">
    <w:name w:val="AMDisplayEquation 字符"/>
    <w:basedOn w:val="a0"/>
    <w:link w:val="AMDisplayEquation"/>
    <w:rsid w:val="00D91758"/>
    <w:rPr>
      <w:rFonts w:asciiTheme="minorHAnsi" w:eastAsiaTheme="minorEastAsia" w:hAnsiTheme="minorHAnsi" w:cstheme="minorBidi"/>
      <w:kern w:val="2"/>
      <w:sz w:val="21"/>
      <w:szCs w:val="22"/>
    </w:rPr>
  </w:style>
  <w:style w:type="paragraph" w:customStyle="1" w:styleId="Body">
    <w:name w:val="Body"/>
    <w:basedOn w:val="a"/>
    <w:qFormat/>
    <w:rsid w:val="007F75A5"/>
    <w:pPr>
      <w:spacing w:line="360" w:lineRule="auto"/>
      <w:ind w:firstLineChars="200" w:firstLine="200"/>
    </w:pPr>
    <w:rPr>
      <w:rFonts w:cs="宋体"/>
      <w:kern w:val="0"/>
      <w:sz w:val="24"/>
      <w:szCs w:val="28"/>
    </w:rPr>
  </w:style>
  <w:style w:type="character" w:customStyle="1" w:styleId="20">
    <w:name w:val="标题 2 字符"/>
    <w:aliases w:val="H2 字符,2nd level 字符,h2 字符,2 字符,Header 2 字符,heading 2+ Indent: Left 0.25 in 字符,Titre2 字符,l2 字符,Level 2 Head 字符,heading 2 字符,sect 1.2 字符,prop2 字符,PIM2 字符,Heading 21 字符,UNDERRUBRIK 1-2 字符,level 2 字符,I2 字符,l2+toc 2 字符,12 字符,Heading 3 2 字符,Head2A 字符"/>
    <w:basedOn w:val="a0"/>
    <w:link w:val="2"/>
    <w:rsid w:val="00EE7D8C"/>
    <w:rPr>
      <w:rFonts w:eastAsia="黑体"/>
      <w:b/>
      <w:sz w:val="30"/>
      <w:szCs w:val="30"/>
    </w:rPr>
  </w:style>
  <w:style w:type="character" w:customStyle="1" w:styleId="30">
    <w:name w:val="标题 3 字符"/>
    <w:basedOn w:val="a0"/>
    <w:link w:val="3"/>
    <w:rsid w:val="00EE7D8C"/>
    <w:rPr>
      <w:rFonts w:eastAsia="黑体"/>
      <w:b/>
      <w:color w:val="000000"/>
      <w:sz w:val="28"/>
      <w:szCs w:val="28"/>
    </w:rPr>
  </w:style>
  <w:style w:type="character" w:customStyle="1" w:styleId="40">
    <w:name w:val="标题 4 字符"/>
    <w:basedOn w:val="a0"/>
    <w:link w:val="4"/>
    <w:rsid w:val="00EE7D8C"/>
    <w:rPr>
      <w:rFonts w:ascii="黑体" w:eastAsia="黑体" w:hAnsi="宋体"/>
      <w:color w:val="000000"/>
      <w:sz w:val="28"/>
    </w:rPr>
  </w:style>
  <w:style w:type="character" w:customStyle="1" w:styleId="50">
    <w:name w:val="标题 5 字符"/>
    <w:basedOn w:val="a0"/>
    <w:link w:val="5"/>
    <w:rsid w:val="00EE7D8C"/>
    <w:rPr>
      <w:sz w:val="28"/>
    </w:rPr>
  </w:style>
  <w:style w:type="character" w:customStyle="1" w:styleId="60">
    <w:name w:val="标题 6 字符"/>
    <w:basedOn w:val="a0"/>
    <w:link w:val="6"/>
    <w:rsid w:val="00EE7D8C"/>
    <w:rPr>
      <w:color w:val="000000"/>
      <w:sz w:val="28"/>
    </w:rPr>
  </w:style>
  <w:style w:type="character" w:customStyle="1" w:styleId="70">
    <w:name w:val="标题 7 字符"/>
    <w:basedOn w:val="a0"/>
    <w:link w:val="7"/>
    <w:rsid w:val="00EE7D8C"/>
    <w:rPr>
      <w:color w:val="000000"/>
      <w:sz w:val="28"/>
    </w:rPr>
  </w:style>
  <w:style w:type="character" w:customStyle="1" w:styleId="80">
    <w:name w:val="标题 8 字符"/>
    <w:basedOn w:val="a0"/>
    <w:link w:val="8"/>
    <w:rsid w:val="00EE7D8C"/>
    <w:rPr>
      <w:rFonts w:ascii="Arial" w:hAnsi="Arial"/>
      <w:sz w:val="28"/>
    </w:rPr>
  </w:style>
  <w:style w:type="character" w:customStyle="1" w:styleId="90">
    <w:name w:val="标题 9 字符"/>
    <w:basedOn w:val="a0"/>
    <w:link w:val="9"/>
    <w:rsid w:val="00EE7D8C"/>
    <w:rPr>
      <w:rFonts w:ascii="Arial" w:hAnsi="Arial"/>
      <w:sz w:val="28"/>
    </w:rPr>
  </w:style>
  <w:style w:type="character" w:customStyle="1" w:styleId="10">
    <w:name w:val="标题 1 字符"/>
    <w:aliases w:val="本发明所属技术领域 字符,H1 字符,Normal + Font: Helvetica 字符,Bold 字符,Space Before 12 pt 字符,Not Bold 字符,DocAltHd 字符,h1 字符,1st level 字符,Section Head 字符,l1 字符,章标题 字符,1 字符,no pg 字符,I1 字符,l1+toc 1 字符,heading 1 字符,1. heading 1 字符,标准章 字符,app heading 1 字符,R1 字符"/>
    <w:basedOn w:val="a0"/>
    <w:link w:val="1"/>
    <w:rsid w:val="00EE7D8C"/>
    <w:rPr>
      <w:b/>
      <w:bCs/>
      <w:kern w:val="44"/>
      <w:sz w:val="44"/>
      <w:szCs w:val="44"/>
    </w:rPr>
  </w:style>
  <w:style w:type="paragraph" w:customStyle="1" w:styleId="projectheading1">
    <w:name w:val="project heading1"/>
    <w:basedOn w:val="a"/>
    <w:rsid w:val="00EE7D8C"/>
    <w:pPr>
      <w:spacing w:line="600" w:lineRule="exact"/>
      <w:jc w:val="center"/>
    </w:pPr>
    <w:rPr>
      <w:kern w:val="0"/>
      <w:sz w:val="44"/>
    </w:rPr>
  </w:style>
  <w:style w:type="paragraph" w:styleId="TOC1">
    <w:name w:val="toc 1"/>
    <w:basedOn w:val="a"/>
    <w:next w:val="a"/>
    <w:autoRedefine/>
    <w:uiPriority w:val="39"/>
    <w:rsid w:val="00EE7D8C"/>
    <w:pPr>
      <w:tabs>
        <w:tab w:val="right" w:leader="dot" w:pos="8381"/>
      </w:tabs>
      <w:spacing w:line="480" w:lineRule="exact"/>
    </w:pPr>
    <w:rPr>
      <w:rFonts w:ascii="Arial" w:eastAsia="黑体" w:hAnsi="Arial"/>
      <w:kern w:val="0"/>
      <w:sz w:val="28"/>
      <w:szCs w:val="28"/>
    </w:rPr>
  </w:style>
  <w:style w:type="paragraph" w:styleId="TOC2">
    <w:name w:val="toc 2"/>
    <w:basedOn w:val="a"/>
    <w:next w:val="a"/>
    <w:uiPriority w:val="39"/>
    <w:qFormat/>
    <w:rsid w:val="00EE7D8C"/>
    <w:pPr>
      <w:tabs>
        <w:tab w:val="right" w:leader="dot" w:pos="8364"/>
      </w:tabs>
      <w:spacing w:line="480" w:lineRule="exact"/>
    </w:pPr>
    <w:rPr>
      <w:rFonts w:ascii="仿宋_GB2312" w:eastAsia="仿宋_GB2312" w:hAnsi="Arial"/>
      <w:kern w:val="0"/>
      <w:sz w:val="24"/>
      <w:szCs w:val="28"/>
    </w:rPr>
  </w:style>
  <w:style w:type="character" w:customStyle="1" w:styleId="a4">
    <w:name w:val="页脚 字符"/>
    <w:basedOn w:val="a0"/>
    <w:link w:val="a3"/>
    <w:rsid w:val="00EE7D8C"/>
    <w:rPr>
      <w:kern w:val="2"/>
      <w:sz w:val="18"/>
    </w:rPr>
  </w:style>
  <w:style w:type="paragraph" w:styleId="afe">
    <w:name w:val="Document Map"/>
    <w:basedOn w:val="a"/>
    <w:link w:val="aff"/>
    <w:rsid w:val="00EE7D8C"/>
    <w:rPr>
      <w:rFonts w:ascii="Tahoma" w:hAnsi="Tahoma" w:cs="Tahoma"/>
      <w:kern w:val="0"/>
      <w:sz w:val="16"/>
      <w:szCs w:val="16"/>
    </w:rPr>
  </w:style>
  <w:style w:type="character" w:customStyle="1" w:styleId="aff">
    <w:name w:val="文档结构图 字符"/>
    <w:basedOn w:val="a0"/>
    <w:link w:val="afe"/>
    <w:rsid w:val="00EE7D8C"/>
    <w:rPr>
      <w:rFonts w:ascii="Tahoma" w:hAnsi="Tahoma" w:cs="Tahoma"/>
      <w:sz w:val="16"/>
      <w:szCs w:val="16"/>
    </w:rPr>
  </w:style>
  <w:style w:type="paragraph" w:customStyle="1" w:styleId="projectheading2">
    <w:name w:val="project heading2"/>
    <w:basedOn w:val="a"/>
    <w:rsid w:val="00EE7D8C"/>
    <w:pPr>
      <w:numPr>
        <w:numId w:val="2"/>
      </w:numPr>
      <w:adjustRightInd w:val="0"/>
      <w:spacing w:line="288" w:lineRule="auto"/>
      <w:jc w:val="center"/>
      <w:outlineLvl w:val="0"/>
    </w:pPr>
    <w:rPr>
      <w:rFonts w:eastAsia="黑体"/>
      <w:b/>
      <w:bCs/>
      <w:kern w:val="0"/>
      <w:sz w:val="52"/>
    </w:rPr>
  </w:style>
  <w:style w:type="paragraph" w:customStyle="1" w:styleId="projectheading3">
    <w:name w:val="project heading3"/>
    <w:basedOn w:val="a"/>
    <w:rsid w:val="00EE7D8C"/>
    <w:pPr>
      <w:spacing w:before="240" w:after="240"/>
      <w:ind w:left="1690" w:hanging="1690"/>
    </w:pPr>
    <w:rPr>
      <w:rFonts w:eastAsia="仿宋"/>
      <w:kern w:val="0"/>
      <w:sz w:val="32"/>
    </w:rPr>
  </w:style>
  <w:style w:type="paragraph" w:customStyle="1" w:styleId="Contents">
    <w:name w:val="Contents"/>
    <w:basedOn w:val="a"/>
    <w:rsid w:val="00EE7D8C"/>
    <w:pPr>
      <w:jc w:val="center"/>
      <w:outlineLvl w:val="0"/>
    </w:pPr>
    <w:rPr>
      <w:rFonts w:ascii="黑体" w:eastAsia="黑体"/>
      <w:b/>
      <w:bCs/>
      <w:color w:val="000000"/>
      <w:kern w:val="0"/>
      <w:sz w:val="30"/>
    </w:rPr>
  </w:style>
  <w:style w:type="character" w:customStyle="1" w:styleId="projectheading4">
    <w:name w:val="project heading4"/>
    <w:basedOn w:val="a0"/>
    <w:rsid w:val="00EE7D8C"/>
    <w:rPr>
      <w:rFonts w:ascii="黑体" w:hAnsi="黑体"/>
      <w:color w:val="000000"/>
    </w:rPr>
  </w:style>
  <w:style w:type="paragraph" w:customStyle="1" w:styleId="projectheading5">
    <w:name w:val="project heading5"/>
    <w:basedOn w:val="a"/>
    <w:rsid w:val="00EE7D8C"/>
    <w:pPr>
      <w:jc w:val="center"/>
    </w:pPr>
    <w:rPr>
      <w:rFonts w:ascii="黑体"/>
      <w:color w:val="000000"/>
      <w:kern w:val="0"/>
      <w:sz w:val="20"/>
    </w:rPr>
  </w:style>
  <w:style w:type="character" w:customStyle="1" w:styleId="a8">
    <w:name w:val="页眉 字符"/>
    <w:basedOn w:val="a0"/>
    <w:link w:val="a7"/>
    <w:uiPriority w:val="99"/>
    <w:rsid w:val="00EE7D8C"/>
    <w:rPr>
      <w:kern w:val="2"/>
      <w:sz w:val="18"/>
      <w:szCs w:val="18"/>
    </w:rPr>
  </w:style>
  <w:style w:type="table" w:styleId="12">
    <w:name w:val="Table Simple 1"/>
    <w:basedOn w:val="a1"/>
    <w:rsid w:val="00EE7D8C"/>
    <w:pPr>
      <w:widowControl w:val="0"/>
      <w:spacing w:before="60" w:after="120"/>
      <w:jc w:val="both"/>
    </w:pPr>
    <w:rPr>
      <w:sz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6">
    <w:name w:val="批注框文本 字符"/>
    <w:basedOn w:val="a0"/>
    <w:link w:val="a5"/>
    <w:rsid w:val="00EE7D8C"/>
    <w:rPr>
      <w:kern w:val="2"/>
      <w:sz w:val="18"/>
      <w:szCs w:val="18"/>
    </w:rPr>
  </w:style>
  <w:style w:type="paragraph" w:styleId="aff0">
    <w:name w:val="No Spacing"/>
    <w:link w:val="aff1"/>
    <w:uiPriority w:val="1"/>
    <w:qFormat/>
    <w:rsid w:val="00EE7D8C"/>
    <w:rPr>
      <w:rFonts w:asciiTheme="minorHAnsi" w:eastAsiaTheme="minorEastAsia" w:hAnsiTheme="minorHAnsi" w:cstheme="minorBidi"/>
      <w:sz w:val="22"/>
      <w:szCs w:val="22"/>
      <w:lang w:eastAsia="en-US"/>
    </w:rPr>
  </w:style>
  <w:style w:type="character" w:customStyle="1" w:styleId="aff1">
    <w:name w:val="无间隔 字符"/>
    <w:basedOn w:val="a0"/>
    <w:link w:val="aff0"/>
    <w:uiPriority w:val="1"/>
    <w:rsid w:val="00EE7D8C"/>
    <w:rPr>
      <w:rFonts w:asciiTheme="minorHAnsi" w:eastAsiaTheme="minorEastAsia" w:hAnsiTheme="minorHAnsi" w:cstheme="minorBidi"/>
      <w:sz w:val="22"/>
      <w:szCs w:val="22"/>
      <w:lang w:eastAsia="en-US"/>
    </w:rPr>
  </w:style>
  <w:style w:type="paragraph" w:customStyle="1" w:styleId="BodyIndent">
    <w:name w:val="Body Indent"/>
    <w:basedOn w:val="Body"/>
    <w:rsid w:val="00EE7D8C"/>
    <w:pPr>
      <w:ind w:firstLine="480"/>
    </w:pPr>
    <w:rPr>
      <w:szCs w:val="20"/>
    </w:rPr>
  </w:style>
  <w:style w:type="character" w:customStyle="1" w:styleId="af">
    <w:name w:val="纯文本 字符"/>
    <w:basedOn w:val="a0"/>
    <w:link w:val="ae"/>
    <w:rsid w:val="00EE7D8C"/>
    <w:rPr>
      <w:rFonts w:ascii="PMingLiU" w:eastAsia="PMingLiU" w:hAnsi="PMingLiU"/>
      <w:color w:val="666600"/>
      <w:sz w:val="24"/>
      <w:szCs w:val="24"/>
      <w:lang w:eastAsia="zh-TW"/>
    </w:rPr>
  </w:style>
  <w:style w:type="character" w:customStyle="1" w:styleId="af5">
    <w:name w:val="批注主题 字符"/>
    <w:basedOn w:val="af3"/>
    <w:link w:val="af4"/>
    <w:uiPriority w:val="99"/>
    <w:semiHidden/>
    <w:rsid w:val="00EE7D8C"/>
    <w:rPr>
      <w:b/>
      <w:bCs/>
      <w:kern w:val="2"/>
      <w:sz w:val="21"/>
    </w:rPr>
  </w:style>
  <w:style w:type="character" w:customStyle="1" w:styleId="13">
    <w:name w:val="未处理的提及1"/>
    <w:basedOn w:val="a0"/>
    <w:uiPriority w:val="99"/>
    <w:semiHidden/>
    <w:unhideWhenUsed/>
    <w:rsid w:val="00EE7D8C"/>
    <w:rPr>
      <w:color w:val="605E5C"/>
      <w:shd w:val="clear" w:color="auto" w:fill="E1DFDD"/>
    </w:rPr>
  </w:style>
  <w:style w:type="character" w:customStyle="1" w:styleId="ng-star-inserted">
    <w:name w:val="ng-star-inserted"/>
    <w:basedOn w:val="a0"/>
    <w:rsid w:val="00D254FC"/>
  </w:style>
  <w:style w:type="character" w:customStyle="1" w:styleId="ng-star-inserted1">
    <w:name w:val="ng-star-inserted1"/>
    <w:basedOn w:val="a0"/>
    <w:rsid w:val="0021160F"/>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27">
      <w:bodyDiv w:val="1"/>
      <w:marLeft w:val="0"/>
      <w:marRight w:val="0"/>
      <w:marTop w:val="0"/>
      <w:marBottom w:val="0"/>
      <w:divBdr>
        <w:top w:val="none" w:sz="0" w:space="0" w:color="auto"/>
        <w:left w:val="none" w:sz="0" w:space="0" w:color="auto"/>
        <w:bottom w:val="none" w:sz="0" w:space="0" w:color="auto"/>
        <w:right w:val="none" w:sz="0" w:space="0" w:color="auto"/>
      </w:divBdr>
    </w:div>
    <w:div w:id="160435888">
      <w:bodyDiv w:val="1"/>
      <w:marLeft w:val="0"/>
      <w:marRight w:val="0"/>
      <w:marTop w:val="0"/>
      <w:marBottom w:val="0"/>
      <w:divBdr>
        <w:top w:val="none" w:sz="0" w:space="0" w:color="auto"/>
        <w:left w:val="none" w:sz="0" w:space="0" w:color="auto"/>
        <w:bottom w:val="none" w:sz="0" w:space="0" w:color="auto"/>
        <w:right w:val="none" w:sz="0" w:space="0" w:color="auto"/>
      </w:divBdr>
      <w:divsChild>
        <w:div w:id="1358971412">
          <w:marLeft w:val="0"/>
          <w:marRight w:val="0"/>
          <w:marTop w:val="0"/>
          <w:marBottom w:val="0"/>
          <w:divBdr>
            <w:top w:val="none" w:sz="0" w:space="0" w:color="auto"/>
            <w:left w:val="none" w:sz="0" w:space="0" w:color="auto"/>
            <w:bottom w:val="none" w:sz="0" w:space="0" w:color="auto"/>
            <w:right w:val="none" w:sz="0" w:space="0" w:color="auto"/>
          </w:divBdr>
        </w:div>
      </w:divsChild>
    </w:div>
    <w:div w:id="181865649">
      <w:bodyDiv w:val="1"/>
      <w:marLeft w:val="0"/>
      <w:marRight w:val="0"/>
      <w:marTop w:val="0"/>
      <w:marBottom w:val="0"/>
      <w:divBdr>
        <w:top w:val="none" w:sz="0" w:space="0" w:color="auto"/>
        <w:left w:val="none" w:sz="0" w:space="0" w:color="auto"/>
        <w:bottom w:val="none" w:sz="0" w:space="0" w:color="auto"/>
        <w:right w:val="none" w:sz="0" w:space="0" w:color="auto"/>
      </w:divBdr>
      <w:divsChild>
        <w:div w:id="280191116">
          <w:marLeft w:val="0"/>
          <w:marRight w:val="0"/>
          <w:marTop w:val="0"/>
          <w:marBottom w:val="0"/>
          <w:divBdr>
            <w:top w:val="none" w:sz="0" w:space="0" w:color="auto"/>
            <w:left w:val="none" w:sz="0" w:space="0" w:color="auto"/>
            <w:bottom w:val="none" w:sz="0" w:space="0" w:color="auto"/>
            <w:right w:val="none" w:sz="0" w:space="0" w:color="auto"/>
          </w:divBdr>
        </w:div>
      </w:divsChild>
    </w:div>
    <w:div w:id="189343242">
      <w:bodyDiv w:val="1"/>
      <w:marLeft w:val="0"/>
      <w:marRight w:val="0"/>
      <w:marTop w:val="0"/>
      <w:marBottom w:val="0"/>
      <w:divBdr>
        <w:top w:val="none" w:sz="0" w:space="0" w:color="auto"/>
        <w:left w:val="none" w:sz="0" w:space="0" w:color="auto"/>
        <w:bottom w:val="none" w:sz="0" w:space="0" w:color="auto"/>
        <w:right w:val="none" w:sz="0" w:space="0" w:color="auto"/>
      </w:divBdr>
      <w:divsChild>
        <w:div w:id="1797144284">
          <w:marLeft w:val="0"/>
          <w:marRight w:val="0"/>
          <w:marTop w:val="0"/>
          <w:marBottom w:val="0"/>
          <w:divBdr>
            <w:top w:val="none" w:sz="0" w:space="0" w:color="auto"/>
            <w:left w:val="none" w:sz="0" w:space="0" w:color="auto"/>
            <w:bottom w:val="none" w:sz="0" w:space="0" w:color="auto"/>
            <w:right w:val="none" w:sz="0" w:space="0" w:color="auto"/>
          </w:divBdr>
        </w:div>
      </w:divsChild>
    </w:div>
    <w:div w:id="272976799">
      <w:bodyDiv w:val="1"/>
      <w:marLeft w:val="0"/>
      <w:marRight w:val="0"/>
      <w:marTop w:val="0"/>
      <w:marBottom w:val="0"/>
      <w:divBdr>
        <w:top w:val="none" w:sz="0" w:space="0" w:color="auto"/>
        <w:left w:val="none" w:sz="0" w:space="0" w:color="auto"/>
        <w:bottom w:val="none" w:sz="0" w:space="0" w:color="auto"/>
        <w:right w:val="none" w:sz="0" w:space="0" w:color="auto"/>
      </w:divBdr>
    </w:div>
    <w:div w:id="395203575">
      <w:bodyDiv w:val="1"/>
      <w:marLeft w:val="0"/>
      <w:marRight w:val="0"/>
      <w:marTop w:val="0"/>
      <w:marBottom w:val="0"/>
      <w:divBdr>
        <w:top w:val="none" w:sz="0" w:space="0" w:color="auto"/>
        <w:left w:val="none" w:sz="0" w:space="0" w:color="auto"/>
        <w:bottom w:val="none" w:sz="0" w:space="0" w:color="auto"/>
        <w:right w:val="none" w:sz="0" w:space="0" w:color="auto"/>
      </w:divBdr>
      <w:divsChild>
        <w:div w:id="2111780952">
          <w:marLeft w:val="0"/>
          <w:marRight w:val="0"/>
          <w:marTop w:val="0"/>
          <w:marBottom w:val="0"/>
          <w:divBdr>
            <w:top w:val="none" w:sz="0" w:space="0" w:color="auto"/>
            <w:left w:val="none" w:sz="0" w:space="0" w:color="auto"/>
            <w:bottom w:val="none" w:sz="0" w:space="0" w:color="auto"/>
            <w:right w:val="none" w:sz="0" w:space="0" w:color="auto"/>
          </w:divBdr>
        </w:div>
      </w:divsChild>
    </w:div>
    <w:div w:id="445731211">
      <w:bodyDiv w:val="1"/>
      <w:marLeft w:val="0"/>
      <w:marRight w:val="0"/>
      <w:marTop w:val="0"/>
      <w:marBottom w:val="0"/>
      <w:divBdr>
        <w:top w:val="none" w:sz="0" w:space="0" w:color="auto"/>
        <w:left w:val="none" w:sz="0" w:space="0" w:color="auto"/>
        <w:bottom w:val="none" w:sz="0" w:space="0" w:color="auto"/>
        <w:right w:val="none" w:sz="0" w:space="0" w:color="auto"/>
      </w:divBdr>
      <w:divsChild>
        <w:div w:id="2133088746">
          <w:marLeft w:val="0"/>
          <w:marRight w:val="0"/>
          <w:marTop w:val="0"/>
          <w:marBottom w:val="0"/>
          <w:divBdr>
            <w:top w:val="none" w:sz="0" w:space="0" w:color="auto"/>
            <w:left w:val="none" w:sz="0" w:space="0" w:color="auto"/>
            <w:bottom w:val="none" w:sz="0" w:space="0" w:color="auto"/>
            <w:right w:val="none" w:sz="0" w:space="0" w:color="auto"/>
          </w:divBdr>
        </w:div>
      </w:divsChild>
    </w:div>
    <w:div w:id="458380467">
      <w:bodyDiv w:val="1"/>
      <w:marLeft w:val="0"/>
      <w:marRight w:val="0"/>
      <w:marTop w:val="0"/>
      <w:marBottom w:val="0"/>
      <w:divBdr>
        <w:top w:val="none" w:sz="0" w:space="0" w:color="auto"/>
        <w:left w:val="none" w:sz="0" w:space="0" w:color="auto"/>
        <w:bottom w:val="none" w:sz="0" w:space="0" w:color="auto"/>
        <w:right w:val="none" w:sz="0" w:space="0" w:color="auto"/>
      </w:divBdr>
    </w:div>
    <w:div w:id="483661314">
      <w:bodyDiv w:val="1"/>
      <w:marLeft w:val="0"/>
      <w:marRight w:val="0"/>
      <w:marTop w:val="0"/>
      <w:marBottom w:val="0"/>
      <w:divBdr>
        <w:top w:val="none" w:sz="0" w:space="0" w:color="auto"/>
        <w:left w:val="none" w:sz="0" w:space="0" w:color="auto"/>
        <w:bottom w:val="none" w:sz="0" w:space="0" w:color="auto"/>
        <w:right w:val="none" w:sz="0" w:space="0" w:color="auto"/>
      </w:divBdr>
    </w:div>
    <w:div w:id="529531190">
      <w:bodyDiv w:val="1"/>
      <w:marLeft w:val="0"/>
      <w:marRight w:val="0"/>
      <w:marTop w:val="0"/>
      <w:marBottom w:val="0"/>
      <w:divBdr>
        <w:top w:val="none" w:sz="0" w:space="0" w:color="auto"/>
        <w:left w:val="none" w:sz="0" w:space="0" w:color="auto"/>
        <w:bottom w:val="none" w:sz="0" w:space="0" w:color="auto"/>
        <w:right w:val="none" w:sz="0" w:space="0" w:color="auto"/>
      </w:divBdr>
    </w:div>
    <w:div w:id="744030841">
      <w:bodyDiv w:val="1"/>
      <w:marLeft w:val="0"/>
      <w:marRight w:val="0"/>
      <w:marTop w:val="0"/>
      <w:marBottom w:val="0"/>
      <w:divBdr>
        <w:top w:val="none" w:sz="0" w:space="0" w:color="auto"/>
        <w:left w:val="none" w:sz="0" w:space="0" w:color="auto"/>
        <w:bottom w:val="none" w:sz="0" w:space="0" w:color="auto"/>
        <w:right w:val="none" w:sz="0" w:space="0" w:color="auto"/>
      </w:divBdr>
    </w:div>
    <w:div w:id="1030104729">
      <w:bodyDiv w:val="1"/>
      <w:marLeft w:val="0"/>
      <w:marRight w:val="0"/>
      <w:marTop w:val="0"/>
      <w:marBottom w:val="0"/>
      <w:divBdr>
        <w:top w:val="none" w:sz="0" w:space="0" w:color="auto"/>
        <w:left w:val="none" w:sz="0" w:space="0" w:color="auto"/>
        <w:bottom w:val="none" w:sz="0" w:space="0" w:color="auto"/>
        <w:right w:val="none" w:sz="0" w:space="0" w:color="auto"/>
      </w:divBdr>
    </w:div>
    <w:div w:id="1117723690">
      <w:bodyDiv w:val="1"/>
      <w:marLeft w:val="0"/>
      <w:marRight w:val="0"/>
      <w:marTop w:val="0"/>
      <w:marBottom w:val="0"/>
      <w:divBdr>
        <w:top w:val="none" w:sz="0" w:space="0" w:color="auto"/>
        <w:left w:val="none" w:sz="0" w:space="0" w:color="auto"/>
        <w:bottom w:val="none" w:sz="0" w:space="0" w:color="auto"/>
        <w:right w:val="none" w:sz="0" w:space="0" w:color="auto"/>
      </w:divBdr>
    </w:div>
    <w:div w:id="1236361466">
      <w:bodyDiv w:val="1"/>
      <w:marLeft w:val="0"/>
      <w:marRight w:val="0"/>
      <w:marTop w:val="0"/>
      <w:marBottom w:val="0"/>
      <w:divBdr>
        <w:top w:val="none" w:sz="0" w:space="0" w:color="auto"/>
        <w:left w:val="none" w:sz="0" w:space="0" w:color="auto"/>
        <w:bottom w:val="none" w:sz="0" w:space="0" w:color="auto"/>
        <w:right w:val="none" w:sz="0" w:space="0" w:color="auto"/>
      </w:divBdr>
    </w:div>
    <w:div w:id="1242452469">
      <w:bodyDiv w:val="1"/>
      <w:marLeft w:val="0"/>
      <w:marRight w:val="0"/>
      <w:marTop w:val="0"/>
      <w:marBottom w:val="0"/>
      <w:divBdr>
        <w:top w:val="none" w:sz="0" w:space="0" w:color="auto"/>
        <w:left w:val="none" w:sz="0" w:space="0" w:color="auto"/>
        <w:bottom w:val="none" w:sz="0" w:space="0" w:color="auto"/>
        <w:right w:val="none" w:sz="0" w:space="0" w:color="auto"/>
      </w:divBdr>
      <w:divsChild>
        <w:div w:id="1264996653">
          <w:marLeft w:val="0"/>
          <w:marRight w:val="0"/>
          <w:marTop w:val="0"/>
          <w:marBottom w:val="0"/>
          <w:divBdr>
            <w:top w:val="none" w:sz="0" w:space="0" w:color="auto"/>
            <w:left w:val="none" w:sz="0" w:space="0" w:color="auto"/>
            <w:bottom w:val="none" w:sz="0" w:space="0" w:color="auto"/>
            <w:right w:val="none" w:sz="0" w:space="0" w:color="auto"/>
          </w:divBdr>
        </w:div>
      </w:divsChild>
    </w:div>
    <w:div w:id="1349060455">
      <w:bodyDiv w:val="1"/>
      <w:marLeft w:val="0"/>
      <w:marRight w:val="0"/>
      <w:marTop w:val="0"/>
      <w:marBottom w:val="0"/>
      <w:divBdr>
        <w:top w:val="none" w:sz="0" w:space="0" w:color="auto"/>
        <w:left w:val="none" w:sz="0" w:space="0" w:color="auto"/>
        <w:bottom w:val="none" w:sz="0" w:space="0" w:color="auto"/>
        <w:right w:val="none" w:sz="0" w:space="0" w:color="auto"/>
      </w:divBdr>
    </w:div>
    <w:div w:id="1441223312">
      <w:bodyDiv w:val="1"/>
      <w:marLeft w:val="0"/>
      <w:marRight w:val="0"/>
      <w:marTop w:val="0"/>
      <w:marBottom w:val="0"/>
      <w:divBdr>
        <w:top w:val="none" w:sz="0" w:space="0" w:color="auto"/>
        <w:left w:val="none" w:sz="0" w:space="0" w:color="auto"/>
        <w:bottom w:val="none" w:sz="0" w:space="0" w:color="auto"/>
        <w:right w:val="none" w:sz="0" w:space="0" w:color="auto"/>
      </w:divBdr>
    </w:div>
    <w:div w:id="1482771805">
      <w:bodyDiv w:val="1"/>
      <w:marLeft w:val="0"/>
      <w:marRight w:val="0"/>
      <w:marTop w:val="0"/>
      <w:marBottom w:val="0"/>
      <w:divBdr>
        <w:top w:val="none" w:sz="0" w:space="0" w:color="auto"/>
        <w:left w:val="none" w:sz="0" w:space="0" w:color="auto"/>
        <w:bottom w:val="none" w:sz="0" w:space="0" w:color="auto"/>
        <w:right w:val="none" w:sz="0" w:space="0" w:color="auto"/>
      </w:divBdr>
    </w:div>
    <w:div w:id="1494377197">
      <w:bodyDiv w:val="1"/>
      <w:marLeft w:val="0"/>
      <w:marRight w:val="0"/>
      <w:marTop w:val="0"/>
      <w:marBottom w:val="0"/>
      <w:divBdr>
        <w:top w:val="none" w:sz="0" w:space="0" w:color="auto"/>
        <w:left w:val="none" w:sz="0" w:space="0" w:color="auto"/>
        <w:bottom w:val="none" w:sz="0" w:space="0" w:color="auto"/>
        <w:right w:val="none" w:sz="0" w:space="0" w:color="auto"/>
      </w:divBdr>
    </w:div>
    <w:div w:id="1530610171">
      <w:bodyDiv w:val="1"/>
      <w:marLeft w:val="0"/>
      <w:marRight w:val="0"/>
      <w:marTop w:val="0"/>
      <w:marBottom w:val="0"/>
      <w:divBdr>
        <w:top w:val="none" w:sz="0" w:space="0" w:color="auto"/>
        <w:left w:val="none" w:sz="0" w:space="0" w:color="auto"/>
        <w:bottom w:val="none" w:sz="0" w:space="0" w:color="auto"/>
        <w:right w:val="none" w:sz="0" w:space="0" w:color="auto"/>
      </w:divBdr>
      <w:divsChild>
        <w:div w:id="39861815">
          <w:marLeft w:val="0"/>
          <w:marRight w:val="0"/>
          <w:marTop w:val="0"/>
          <w:marBottom w:val="0"/>
          <w:divBdr>
            <w:top w:val="none" w:sz="0" w:space="0" w:color="auto"/>
            <w:left w:val="none" w:sz="0" w:space="0" w:color="auto"/>
            <w:bottom w:val="none" w:sz="0" w:space="0" w:color="auto"/>
            <w:right w:val="none" w:sz="0" w:space="0" w:color="auto"/>
          </w:divBdr>
        </w:div>
      </w:divsChild>
    </w:div>
    <w:div w:id="1538666106">
      <w:bodyDiv w:val="1"/>
      <w:marLeft w:val="0"/>
      <w:marRight w:val="0"/>
      <w:marTop w:val="0"/>
      <w:marBottom w:val="0"/>
      <w:divBdr>
        <w:top w:val="none" w:sz="0" w:space="0" w:color="auto"/>
        <w:left w:val="none" w:sz="0" w:space="0" w:color="auto"/>
        <w:bottom w:val="none" w:sz="0" w:space="0" w:color="auto"/>
        <w:right w:val="none" w:sz="0" w:space="0" w:color="auto"/>
      </w:divBdr>
    </w:div>
    <w:div w:id="1655642981">
      <w:bodyDiv w:val="1"/>
      <w:marLeft w:val="0"/>
      <w:marRight w:val="0"/>
      <w:marTop w:val="0"/>
      <w:marBottom w:val="0"/>
      <w:divBdr>
        <w:top w:val="none" w:sz="0" w:space="0" w:color="auto"/>
        <w:left w:val="none" w:sz="0" w:space="0" w:color="auto"/>
        <w:bottom w:val="none" w:sz="0" w:space="0" w:color="auto"/>
        <w:right w:val="none" w:sz="0" w:space="0" w:color="auto"/>
      </w:divBdr>
    </w:div>
    <w:div w:id="1716930814">
      <w:bodyDiv w:val="1"/>
      <w:marLeft w:val="0"/>
      <w:marRight w:val="0"/>
      <w:marTop w:val="0"/>
      <w:marBottom w:val="0"/>
      <w:divBdr>
        <w:top w:val="none" w:sz="0" w:space="0" w:color="auto"/>
        <w:left w:val="none" w:sz="0" w:space="0" w:color="auto"/>
        <w:bottom w:val="none" w:sz="0" w:space="0" w:color="auto"/>
        <w:right w:val="none" w:sz="0" w:space="0" w:color="auto"/>
      </w:divBdr>
    </w:div>
    <w:div w:id="1820804319">
      <w:bodyDiv w:val="1"/>
      <w:marLeft w:val="0"/>
      <w:marRight w:val="0"/>
      <w:marTop w:val="0"/>
      <w:marBottom w:val="0"/>
      <w:divBdr>
        <w:top w:val="none" w:sz="0" w:space="0" w:color="auto"/>
        <w:left w:val="none" w:sz="0" w:space="0" w:color="auto"/>
        <w:bottom w:val="none" w:sz="0" w:space="0" w:color="auto"/>
        <w:right w:val="none" w:sz="0" w:space="0" w:color="auto"/>
      </w:divBdr>
    </w:div>
    <w:div w:id="2099593432">
      <w:bodyDiv w:val="1"/>
      <w:marLeft w:val="0"/>
      <w:marRight w:val="0"/>
      <w:marTop w:val="0"/>
      <w:marBottom w:val="0"/>
      <w:divBdr>
        <w:top w:val="none" w:sz="0" w:space="0" w:color="auto"/>
        <w:left w:val="none" w:sz="0" w:space="0" w:color="auto"/>
        <w:bottom w:val="none" w:sz="0" w:space="0" w:color="auto"/>
        <w:right w:val="none" w:sz="0" w:space="0" w:color="auto"/>
      </w:divBdr>
      <w:divsChild>
        <w:div w:id="463738121">
          <w:marLeft w:val="0"/>
          <w:marRight w:val="0"/>
          <w:marTop w:val="0"/>
          <w:marBottom w:val="0"/>
          <w:divBdr>
            <w:top w:val="none" w:sz="0" w:space="0" w:color="auto"/>
            <w:left w:val="none" w:sz="0" w:space="0" w:color="auto"/>
            <w:bottom w:val="none" w:sz="0" w:space="0" w:color="auto"/>
            <w:right w:val="none" w:sz="0" w:space="0" w:color="auto"/>
          </w:divBdr>
        </w:div>
      </w:divsChild>
    </w:div>
    <w:div w:id="21039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742</TotalTime>
  <Pages>22</Pages>
  <Words>6573</Words>
  <Characters>6968</Characters>
  <Application>Microsoft Office Word</Application>
  <DocSecurity>0</DocSecurity>
  <Lines>278</Lines>
  <Paragraphs>211</Paragraphs>
  <ScaleCrop>false</ScaleCrop>
  <Company>sipo</Company>
  <LinksUpToDate>false</LinksUpToDate>
  <CharactersWithSpaces>13330</CharactersWithSpaces>
  <SharedDoc>false</SharedDoc>
  <HLinks>
    <vt:vector size="12" baseType="variant">
      <vt:variant>
        <vt:i4>1245262</vt:i4>
      </vt:variant>
      <vt:variant>
        <vt:i4>3</vt:i4>
      </vt:variant>
      <vt:variant>
        <vt:i4>0</vt:i4>
      </vt:variant>
      <vt:variant>
        <vt:i4>5</vt:i4>
      </vt:variant>
      <vt:variant>
        <vt:lpwstr>http://baike.sogou.com/lemma/ShowInnerLink.htm?lemmaId=144163</vt:lpwstr>
      </vt:variant>
      <vt:variant>
        <vt:lpwstr/>
      </vt:variant>
      <vt:variant>
        <vt:i4>2031688</vt:i4>
      </vt:variant>
      <vt:variant>
        <vt:i4>0</vt:i4>
      </vt:variant>
      <vt:variant>
        <vt:i4>0</vt:i4>
      </vt:variant>
      <vt:variant>
        <vt:i4>5</vt:i4>
      </vt:variant>
      <vt:variant>
        <vt:lpwstr>http://baike.sogou.com/lemma/ShowInnerLink.htm?lemmaId=259642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文同 王</cp:lastModifiedBy>
  <cp:revision>3</cp:revision>
  <dcterms:created xsi:type="dcterms:W3CDTF">2026-07-08T07:41:00Z</dcterms:created>
  <dcterms:modified xsi:type="dcterms:W3CDTF">2026-07-08T09:55:00Z</dcterms:modified>
</cp:coreProperties>
</file>