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1800" w:after="300"/>
      </w:pPr>
      <w:r>
        <w:rPr>
          <w:rFonts w:eastAsia="黑体" w:ascii="Calibri" w:hAnsi="Calibri"/>
          <w:b/>
          <w:sz w:val="40"/>
          <w:color w:val="1F4E79"/>
        </w:rPr>
        <w:t>面向园区网络的全流量采集分析系统</w:t>
      </w:r>
    </w:p>
    <w:p>
      <w:pPr>
        <w:jc w:val="center"/>
        <w:spacing w:after="900"/>
      </w:pPr>
      <w:r>
        <w:rPr>
          <w:rFonts w:eastAsia="宋体" w:ascii="Calibri" w:hAnsi="Calibri"/>
          <w:sz w:val="24"/>
          <w:color w:val="5B667A"/>
        </w:rPr>
        <w:t>产品设计说明书</w:t>
      </w:r>
    </w:p>
    <w:tbl>
      <w:tblPr>
        <w:tblStyle w:val="TableGrid"/>
        <w:tblW w:w="0" w:type="auto"/>
        <w:tblLook w:firstRow="1" w:noHBand="0" w:noVBand="1"/>
      </w:tblPr>
      <w:tblGrid>
        <w:gridCol w:w="4500"/>
        <w:gridCol w:w="4500"/>
      </w:tblGrid>
      <w:tr>
        <w:tc>
          <w:tcPr>
            <w:tcW w:w="45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项目</w:t>
            </w:r>
          </w:p>
        </w:tc>
        <w:tc>
          <w:tcPr>
            <w:tcW w:w="45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内容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文档类型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产品设计 / PRD / 产品规格说明书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适用范围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课题一：园区网络全流量采集、分析、研判、取证与运营闭环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重构方式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Node.js 生成规范 OOXML 文档，归并历史多轮追加内容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设计依据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任务书、实施方案、agent.md、当前项目代码、前端路由、接口类型、历史图表资产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版本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V2.0 重构版（20260616154835）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1. 文档概述</w:t>
      </w:r>
    </w:p>
    <w:p>
      <w:pPr>
        <w:pStyle w:val="Heading2"/>
        <w:keepNext/>
      </w:pPr>
      <w:r>
        <w:t>1.1 文档目的</w:t>
      </w:r>
    </w:p>
    <w:p>
      <w:pPr>
        <w:spacing w:after="120" w:line="360" w:lineRule="auto"/>
        <w:ind w:firstLine="420"/>
      </w:pPr>
      <w:r>
        <w:rPr>
          <w:rFonts w:eastAsia="宋体" w:ascii="Calibri" w:hAnsi="Calibri"/>
          <w:sz w:val="21"/>
        </w:rPr>
        <w:t xml:space="preserve">本文档用于规范描述“面向园区网络的全流量采集分析系统”的产品目标、用户角色、业务场景、页面设计、功能规格、数据口径、权限边界、验收标准和运营闭环。重构后的文档面向项目评审、研发实现、测试验收和现场交付，替代原文档中多轮追加式章节。</w:t>
      </w:r>
    </w:p>
    <w:p>
      <w:pPr>
        <w:pStyle w:val="Heading2"/>
        <w:keepNext/>
      </w:pPr>
      <w:r>
        <w:t>1.2 设计依据</w:t>
      </w:r>
    </w:p>
    <w:tbl>
      <w:tblPr>
        <w:tblStyle w:val="TableGrid"/>
        <w:tblW w:w="0" w:type="auto"/>
        <w:tblLook w:firstRow="1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依据</w:t>
            </w:r>
          </w:p>
        </w:tc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内容</w:t>
            </w:r>
          </w:p>
        </w:tc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在本文档中的体现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任务书/实施方案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课题一全流量采集分析业务要求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产品目标、业务边界、验收场景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agent.md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系统数据链路、Topic、Schema、子系统、性能指标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能力地图、数据口径、非功能要求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前端代码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React 路由、页面、API 服务、E2E 用例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页面清单、交互设计、验收脚本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后端代码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Go 控制面、Rust 探针、Flink、MLOps、公共资源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接口映射、状态机、取证和规则管理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历史文档图表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产品蓝图、页面矩阵、状态机、评审门禁等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重新归并到规范章节并保留图题</w:t>
            </w:r>
          </w:p>
        </w:tc>
      </w:tr>
    </w:tbl>
    <w:p/>
    <w:p>
      <w:pPr>
        <w:pStyle w:val="Heading2"/>
        <w:keepNext/>
      </w:pPr>
      <w:r>
        <w:t>1.3 读者对象</w:t>
      </w:r>
    </w:p>
    <w:tbl>
      <w:tblPr>
        <w:tblStyle w:val="TableGrid"/>
        <w:tblW w:w="0" w:type="auto"/>
        <w:tblLook w:firstRow="1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读者</w:t>
            </w:r>
          </w:p>
        </w:tc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关注点</w:t>
            </w:r>
          </w:p>
        </w:tc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使用方式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项目负责人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建设目标、范围边界、验收标准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快速判断产品方案是否承接课题目标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产品经理/交互设计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信息架构、页面规格、流程状态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据此细化原型、页面说明和交互状态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前端/后端研发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页面字段、主操作、接口依赖、状态规则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拆分研发任务并对齐接口契约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测试/验收人员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验收场景、异常态、权限态、指标口径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形成测试用例、演示脚本和验收报告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安全运营人员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告警研判、取证、白名单、规则反馈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支撑值班、研判、处置、复盘闭环</w:t>
            </w:r>
          </w:p>
        </w:tc>
      </w:tr>
    </w:tbl>
    <w:p/>
    <w:p>
      <w:pPr>
        <w:pStyle w:val="Heading2"/>
        <w:keepNext/>
      </w:pPr>
      <w:r>
        <w:t>1.4 术语与缩略语</w:t>
      </w:r>
    </w:p>
    <w:tbl>
      <w:tblPr>
        <w:tblStyle w:val="TableGrid"/>
        <w:tblW w:w="0" w:type="auto"/>
        <w:tblLook w:firstRow="1" w:noHBand="0" w:noVBand="1"/>
      </w:tblPr>
      <w:tblGrid>
        <w:gridCol w:w="4500"/>
        <w:gridCol w:w="4500"/>
      </w:tblGrid>
      <w:tr>
        <w:tc>
          <w:tcPr>
            <w:tcW w:w="45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术语</w:t>
            </w:r>
          </w:p>
        </w:tc>
        <w:tc>
          <w:tcPr>
            <w:tcW w:w="45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说明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FlowEvent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探针生成的网络流量事件，是全流量分析的基础数据。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Session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由流计算任务聚合后的会话对象，用于规则、特征和取证关联。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Evidence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告警证据，包括指标摘要、会话片段、PCAP 索引和可视化引用。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Campaign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多个告警、实体和阶段组成的攻击链或战役对象。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BackendPending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历史前端占位状态；当前代码已接入加密流量、数据融合、行为基准、合规审计页面。</w:t>
            </w:r>
          </w:p>
        </w:tc>
      </w:tr>
    </w:tbl>
    <w:p/>
    <w:p>
      <w:pPr>
        <w:pStyle w:val="Heading1"/>
        <w:keepNext/>
      </w:pPr>
      <w:r>
        <w:t>2. 产品目标与范围</w:t>
      </w:r>
    </w:p>
    <w:p>
      <w:pPr>
        <w:pStyle w:val="Heading2"/>
        <w:keepNext/>
      </w:pPr>
      <w:r>
        <w:t>2.1 产品定位</w:t>
      </w:r>
    </w:p>
    <w:p>
      <w:pPr>
        <w:spacing w:after="120" w:line="360" w:lineRule="auto"/>
        <w:ind w:firstLine="420"/>
      </w:pPr>
      <w:r>
        <w:rPr>
          <w:rFonts w:eastAsia="宋体" w:ascii="Calibri" w:hAnsi="Calibri"/>
          <w:sz w:val="21"/>
        </w:rPr>
        <w:t xml:space="preserve">系统定位为园区网络安全运营平台中的全流量采集分析底座，通过探针采集、流式处理、多源融合、规则与模型检测、告警研判、取证回溯和运营反馈，形成从网络可见性到安全处置闭环的产品能力。</w:t>
      </w:r>
    </w:p>
    <w:p>
      <w:pPr>
        <w:pStyle w:val="Heading3"/>
      </w:pPr>
      <w:r>
        <w:t>深化融合：课题一边界与产品定位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课题一的核心不是单纯建设若干页面或服务，而是交付“园区网络流量智能检测与分析”工程系统。任务书要求研究多源异构数据融合与全流量特征识别，最终能够检测已知和未知网络攻击，预警准确率达到 95% 以上、误报率低于 5%，并接受有 CNAS 资质的第三方测试。项目周期为 2025 年 10 月至 2027 年 10 月。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因此，产品和工程设计必须围绕“指标可追溯、链路可复测、证据可归档、反馈可学习”组织。自动阻断、流量清洗、未知 VPN 专项、专用芯片和网关属于兄弟课题或协同接口，课题一应提供检测结果、证据、数据接口和联调证据，但不应在课题一设计中越界承诺。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追溯项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任务书/项目要求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产品承接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工程承接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证据状态</w:t>
            </w:r>
          </w:p>
        </w:tc>
      </w:tr>
      <w:tr>
        <w:tc>
          <w:tcPr>
            <w:tcW w:type="dxa" w:w="1872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REQ-T1-DET-001</w:t>
            </w:r>
          </w:p>
        </w:tc>
        <w:tc>
          <w:tcPr>
            <w:tcW w:type="dxa" w:w="1872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已知/未知攻击检测；准确率 &gt;=95%；误报率 &lt;5%；CNAS 第三方测试</w:t>
            </w:r>
          </w:p>
        </w:tc>
        <w:tc>
          <w:tcPr>
            <w:tcW w:type="dxa" w:w="1872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告警中心、攻击链、反馈标注、验收看板</w:t>
            </w:r>
          </w:p>
        </w:tc>
        <w:tc>
          <w:tcPr>
            <w:tcW w:type="dxa" w:w="1872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Rule/Behavior/CEP/Alert Gen；评估数据集；混淆矩阵</w:t>
            </w:r>
          </w:p>
        </w:tc>
        <w:tc>
          <w:tcPr>
            <w:tcW w:type="dxa" w:w="1872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链路已具备，第三方质量证据待补</w:t>
            </w:r>
          </w:p>
        </w:tc>
      </w:tr>
      <w:tr>
        <w:tc>
          <w:tcPr>
            <w:tcW w:type="dxa" w:w="1872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REQ-T1-DATA-001</w:t>
            </w:r>
          </w:p>
        </w:tc>
        <w:tc>
          <w:tcPr>
            <w:tcW w:type="dxa" w:w="1872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多源异构融合：流量、资产、日志、用户行为</w:t>
            </w:r>
          </w:p>
        </w:tc>
        <w:tc>
          <w:tcPr>
            <w:tcW w:type="dxa" w:w="1872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融合管理、资产画像、图谱分析、数据质量</w:t>
            </w:r>
          </w:p>
        </w:tc>
        <w:tc>
          <w:tcPr>
            <w:tcW w:type="dxa" w:w="1872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Kafka 多主题、Flink Log/User Behavior、PG/CH/Nebula</w:t>
            </w:r>
          </w:p>
        </w:tc>
        <w:tc>
          <w:tcPr>
            <w:tcW w:type="dxa" w:w="1872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功能面具备，语义一致性和质量指标需固化</w:t>
            </w:r>
          </w:p>
        </w:tc>
      </w:tr>
      <w:tr>
        <w:tc>
          <w:tcPr>
            <w:tcW w:type="dxa" w:w="1872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REQ-T1-EVI-001</w:t>
            </w:r>
          </w:p>
        </w:tc>
        <w:tc>
          <w:tcPr>
            <w:tcW w:type="dxa" w:w="1872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研究计划执行、检查、验收以任务书为依据</w:t>
            </w:r>
          </w:p>
        </w:tc>
        <w:tc>
          <w:tcPr>
            <w:tcW w:type="dxa" w:w="1872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每个页面绑定验收点和证据入口</w:t>
            </w:r>
          </w:p>
        </w:tc>
        <w:tc>
          <w:tcPr>
            <w:tcW w:type="dxa" w:w="1872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需求-接口-topic-表-测试-报告矩阵</w:t>
            </w:r>
          </w:p>
        </w:tc>
        <w:tc>
          <w:tcPr>
            <w:tcW w:type="dxa" w:w="1872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需建立 REQ-T1 追踪矩阵</w:t>
            </w:r>
          </w:p>
        </w:tc>
      </w:tr>
      <w:tr>
        <w:tc>
          <w:tcPr>
            <w:tcW w:type="dxa" w:w="1872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REQ-T1-PERF-001</w:t>
            </w:r>
          </w:p>
        </w:tc>
        <w:tc>
          <w:tcPr>
            <w:tcW w:type="dxa" w:w="1872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工程门禁提出 10 x 100Gbps、512Mpps、P95 &lt;=60s 等专项验证</w:t>
            </w:r>
          </w:p>
        </w:tc>
        <w:tc>
          <w:tcPr>
            <w:tcW w:type="dxa" w:w="1872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采集健康、链路时延、容量看板</w:t>
            </w:r>
          </w:p>
        </w:tc>
        <w:tc>
          <w:tcPr>
            <w:tcW w:type="dxa" w:w="1872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AF_XDP、Kafka 分区、Flink checkpoint、CH 分片</w:t>
            </w:r>
          </w:p>
        </w:tc>
        <w:tc>
          <w:tcPr>
            <w:tcW w:type="dxa" w:w="1872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待专项压测和报告</w:t>
            </w:r>
          </w:p>
        </w:tc>
      </w:tr>
      <w:tr>
        <w:tc>
          <w:tcPr>
            <w:tcW w:type="dxa" w:w="1872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REQ-T1-IP-001</w:t>
            </w:r>
          </w:p>
        </w:tc>
        <w:tc>
          <w:tcPr>
            <w:tcW w:type="dxa" w:w="1872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课题一专利等成果证明</w:t>
            </w:r>
          </w:p>
        </w:tc>
        <w:tc>
          <w:tcPr>
            <w:tcW w:type="dxa" w:w="1872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技术创新点沉淀为能力说明</w:t>
            </w:r>
          </w:p>
        </w:tc>
        <w:tc>
          <w:tcPr>
            <w:tcW w:type="dxa" w:w="1872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全流量特征识别、多源融合检测、反馈学习闭环</w:t>
            </w:r>
          </w:p>
        </w:tc>
        <w:tc>
          <w:tcPr>
            <w:tcW w:type="dxa" w:w="1872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需形成专利/软著材料包</w:t>
            </w:r>
          </w:p>
        </w:tc>
      </w:tr>
    </w:tbl>
    <w:p>
      <w:pPr>
        <w:pStyle w:val="Heading2"/>
        <w:keepNext/>
      </w:pPr>
      <w:r>
        <w:t>2.2 建设目标</w:t>
      </w:r>
    </w:p>
    <w:tbl>
      <w:tblPr>
        <w:tblStyle w:val="TableGrid"/>
        <w:tblW w:w="0" w:type="auto"/>
        <w:tblLook w:firstRow="1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目标</w:t>
            </w:r>
          </w:p>
        </w:tc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产品化表达</w:t>
            </w:r>
          </w:p>
        </w:tc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验收关注点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全流量可见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探针状态、流量趋势、会话查询、PCAP 索引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采集链路连通、吞吐与丢包可观测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实时检测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规则命中、模型评分、攻击链还原、加密流量识别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端到端延迟、告警准确性、证据完整率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研判闭环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告警列表、详情、状态机、反馈、白名单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状态流转受控、审计可追溯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取证回溯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PCAP 裁剪、下载、Arkime/图谱联动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证据可定位、下载有权限和有效期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持续运营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规则优化、模型回灌、报表、评审门禁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误报可沉淀、指标可复盘</w:t>
            </w:r>
          </w:p>
        </w:tc>
      </w:tr>
    </w:tbl>
    <w:p/>
    <w:p>
      <w:pPr>
        <w:pStyle w:val="Heading2"/>
        <w:keepNext/>
      </w:pPr>
      <w:r>
        <w:t>2.3 业务边界</w:t>
      </w:r>
    </w:p>
    <w:p>
      <w:pPr>
        <w:spacing w:after="80" w:line="320" w:lineRule="auto"/>
        <w:ind w:left="420" w:hanging="210"/>
      </w:pPr>
      <w:r>
        <w:rPr>
          <w:rFonts w:eastAsia="宋体" w:ascii="Calibri" w:hAnsi="Calibri"/>
          <w:sz w:val="21"/>
        </w:rPr>
        <w:t>• In Scope：流量采集、会话化、检测告警、攻击链分析、加密流量分析、取证、实体图谱、规则/模型/白名单/探针/部署管理、合规审计报表。</w:t>
      </w:r>
    </w:p>
    <w:p>
      <w:pPr>
        <w:spacing w:after="80" w:line="320" w:lineRule="auto"/>
        <w:ind w:left="420" w:hanging="210"/>
      </w:pPr>
      <w:r>
        <w:rPr>
          <w:rFonts w:eastAsia="宋体" w:ascii="Calibri" w:hAnsi="Calibri"/>
          <w:sz w:val="21"/>
        </w:rPr>
        <w:t>• Out of Scope：终端 EDR 处置、工单系统完整替代、跨域 SOC 运营中心、第三方防火墙策略自动下发的最终审批。</w:t>
      </w:r>
    </w:p>
    <w:p>
      <w:pPr>
        <w:spacing w:after="80" w:line="320" w:lineRule="auto"/>
        <w:ind w:left="420" w:hanging="210"/>
      </w:pPr>
      <w:r>
        <w:rPr>
          <w:rFonts w:eastAsia="宋体" w:ascii="Calibri" w:hAnsi="Calibri"/>
          <w:sz w:val="21"/>
        </w:rPr>
        <w:t>• 接口边界：产品页面通过 REST API、gRPC/Protobuf、Kafka 事件和对象存储访问后端能力，所有高风险动作必须经权限和审计控制。</w:t>
      </w:r>
    </w:p>
    <w:p>
      <w:pPr>
        <w:pStyle w:val="Heading2"/>
        <w:keepNext/>
      </w:pPr>
      <w:r>
        <w:t>2.4 版本范围与优先级</w:t>
      </w:r>
    </w:p>
    <w:tbl>
      <w:tblPr>
        <w:tblStyle w:val="TableGrid"/>
        <w:tblW w:w="0" w:type="auto"/>
        <w:tblLook w:firstRow="1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优先级</w:t>
            </w:r>
          </w:p>
        </w:tc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产品能力</w:t>
            </w:r>
          </w:p>
        </w:tc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说明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P0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仪表盘、告警中心、告警详情、规则管理、探针管理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支撑核心演示与基础运营闭环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P1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攻击链、取证分析、实体图谱、部署管理、白名单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支撑研判、取证和策略闭环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P2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加密流量、数据融合、行为基准、合规审计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支撑高级检测、报表和持续运营</w:t>
            </w:r>
          </w:p>
        </w:tc>
      </w:tr>
    </w:tbl>
    <w:p/>
    <w:p>
      <w:pPr>
        <w:pStyle w:val="Heading1"/>
        <w:keepNext/>
      </w:pPr>
      <w:r>
        <w:t>3. 用户角色与业务场景</w:t>
      </w:r>
    </w:p>
    <w:p>
      <w:pPr>
        <w:pStyle w:val="Heading2"/>
        <w:keepNext/>
      </w:pPr>
      <w:r>
        <w:t>3.1 用户角色</w:t>
      </w:r>
    </w:p>
    <w:tbl>
      <w:tblPr>
        <w:tblStyle w:val="TableGrid"/>
        <w:tblW w:w="0" w:type="auto"/>
        <w:tblLook w:firstRow="1" w:noHBand="0" w:noVBand="1"/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角色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核心诉求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关键页面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权限边界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安全值班员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快速发现高危告警和采集异常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仪表盘、告警中心、大屏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查看、筛选、指派，不直接发布规则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安全研判员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确认威胁、查看证据、形成处置结论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告警详情、攻击链、取证、图谱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可流转状态、提交反馈和取证请求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平台管理员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管理探针、规则、白名单、部署和用户权限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探针、规则、部署、白名单、设置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可执行高风险操作，必须审计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项目验收人员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验证系统是否覆盖课题目标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仪表盘、告警、报表、合规审计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以只读和演示账号为主</w:t>
            </w:r>
          </w:p>
        </w:tc>
      </w:tr>
    </w:tbl>
    <w:p/>
    <w:p>
      <w:pPr>
        <w:pStyle w:val="Heading3"/>
      </w:pPr>
      <w:r>
        <w:t>深化融合：用户角色与价值主张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角色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核心痛点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产品价值主张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需要强化的体验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安全值班员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告警多、真假难分、采集异常不易发现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先看真实高危，先看数据质量影响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首页把采集健康、真实高危、链路风险放在同一屏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安全研判员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缺原始证据和上下文，取证慢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一条告警追到会话、PCAP、图谱、规则/模型版本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告警详情首屏证据优先，下一步动作明确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平台管理员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规则、白名单、探针、模型变更风险高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高风险操作可审批、可灰度、可回滚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dry-run、影响范围、审批、回滚原因、审计链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算法/规则负责人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误报反馈难回灌，未知攻击难证明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反馈样本进入规则复审和 MLOps 门禁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TP/FP/TN/FN/unknown 与原因码字典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项目/验收人员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功能很多但对不上任务书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每个演示步骤都有指标、证据和责任人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25 分钟验收演示脚本、证据包和追溯矩阵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园区负责人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投入价值难解释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用 MTTR、误报率、资产覆盖率、取证耗时说明收益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试点前后对比和经济效益页</w:t>
            </w:r>
          </w:p>
        </w:tc>
      </w:tr>
    </w:tbl>
    <w:p>
      <w:pPr>
        <w:pStyle w:val="Heading2"/>
        <w:keepNext/>
      </w:pPr>
      <w:r>
        <w:t>3.2 典型业务场景</w:t>
      </w:r>
    </w:p>
    <w:tbl>
      <w:tblPr>
        <w:tblStyle w:val="TableGrid"/>
        <w:tblW w:w="0" w:type="auto"/>
        <w:tblLook w:firstRow="1" w:noHBand="0" w:noVBand="1"/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场景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触发条件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用户路径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成功标准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高危外联研判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检测到异常外联或隧道流量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仪表盘→告警详情→取证→图谱→处置关闭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证据齐全、处置结论和审计记录完整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横向移动分析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多个资产出现阶段性关联告警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攻击链→关联告警→实体图谱→报告导出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攻击阶段、实体关系和时间线可解释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误报沉淀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研判确认告警为误报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告警详情→反馈→白名单草稿→规则复审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误报原因可统计，规则/白名单有审批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探针异常排查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探针离线、心跳异常、丢包升高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仪表盘→探针管理→部署管理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显示最近心跳、版本、采集口和建议动作</w:t>
            </w:r>
          </w:p>
        </w:tc>
      </w:tr>
    </w:tbl>
    <w:p/>
    <w:p>
      <w:pPr>
        <w:pStyle w:val="Heading2"/>
        <w:keepNext/>
      </w:pPr>
      <w:r>
        <w:t>3.3 用户故事与验收条件</w:t>
      </w:r>
    </w:p>
    <w:tbl>
      <w:tblPr>
        <w:tblStyle w:val="TableGrid"/>
        <w:tblW w:w="0" w:type="auto"/>
        <w:tblLook w:firstRow="1" w:noHBand="0" w:noVBand="1"/>
      </w:tblPr>
      <w:tblGrid>
        <w:gridCol w:w="4500"/>
        <w:gridCol w:w="4500"/>
      </w:tblGrid>
      <w:tr>
        <w:tc>
          <w:tcPr>
            <w:tcW w:w="45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用户故事</w:t>
            </w:r>
          </w:p>
        </w:tc>
        <w:tc>
          <w:tcPr>
            <w:tcW w:w="45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验收条件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作为安全值班员，我希望按严重级别、状态、资产和时间窗筛选告警。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筛选条件可组合，URL 保留查询状态，空状态可清空筛选。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作为安全研判员，我希望在告警详情中看到证据、会话、攻击链和处置建议。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详情页展示 evidence_ids、session_id、campaign_id、rule_version、model_version。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作为管理员，我希望从误报反馈生成白名单草稿。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白名单草稿包含来源告警、有效期、原因码，启用前需审核。</w:t>
            </w:r>
          </w:p>
        </w:tc>
      </w:tr>
    </w:tbl>
    <w:p/>
    <w:p>
      <w:pPr>
        <w:pStyle w:val="Heading1"/>
        <w:keepNext/>
      </w:pPr>
      <w:r>
        <w:t>4. 产品能力与信息架构</w:t>
      </w:r>
    </w:p>
    <w:p>
      <w:pPr>
        <w:pStyle w:val="Heading2"/>
        <w:keepNext/>
      </w:pPr>
      <w:r>
        <w:t>4.1 产品能力地图</w:t>
      </w:r>
    </w:p>
    <w:p>
      <w:pPr>
        <w:jc w:val="center"/>
        <w:spacing w:before="120" w:after="80"/>
      </w:pPr>
      <w:r>
        <w:drawing>
          <wp:inline distT="0" distB="0" distL="0" distR="0">
            <wp:extent cx="5852160" cy="3291840"/>
            <wp:effectExtent l="0" t="0" r="0" b="0"/>
            <wp:docPr id="1" name="Picture 1" descr="图4-1 产品能力地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图4-1 产品能力地图</w:t>
      </w:r>
    </w:p>
    <w:p>
      <w:pPr>
        <w:spacing w:after="120" w:line="360" w:lineRule="auto"/>
        <w:ind w:firstLine="420"/>
      </w:pPr>
      <w:r>
        <w:rPr>
          <w:rFonts w:eastAsia="宋体" w:ascii="Calibri" w:hAnsi="Calibri"/>
          <w:sz w:val="21"/>
        </w:rPr>
        <w:t xml:space="preserve">产品能力围绕“采集接入、流式处理、检测研判、取证回溯、控制治理、运营评审”分层。该结构来自 agent.md 中 probe-agent → Kafka → Flink → 多存储 → Go API → Web UI 的主链路，并吸收历史产品蓝图与能力矩阵。</w:t>
      </w:r>
    </w:p>
    <w:p>
      <w:pPr>
        <w:jc w:val="center"/>
        <w:spacing w:before="120" w:after="80"/>
      </w:pPr>
      <w:r>
        <w:drawing>
          <wp:inline distT="0" distB="0" distL="0" distR="0">
            <wp:extent cx="5852160" cy="3449694"/>
            <wp:effectExtent l="0" t="0" r="0" b="0"/>
            <wp:docPr id="2" name="Picture 2" descr="图4-2 产品蓝图与用户价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4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图4-2 产品蓝图与用户价值</w:t>
      </w:r>
    </w:p>
    <w:p>
      <w:pPr>
        <w:pStyle w:val="Heading3"/>
      </w:pPr>
      <w:r>
        <w:t>深化融合：产品能力地图与成功标准</w:t>
      </w:r>
    </w:p>
    <w:p>
      <w:pPr>
        <w:spacing w:before="0" w:after="160" w:line="264" w:lineRule="auto"/>
        <w:jc w:val="center"/>
      </w:pPr>
      <w:r>
        <w:rPr>
          <w:rFonts w:ascii="Calibri" w:hAnsi="Calibri" w:eastAsia="Microsoft YaHei"/>
          <w:b w:val="0"/>
          <w:i/>
          <w:color w:val="586270"/>
          <w:sz w:val="18"/>
        </w:rPr>
        <w:t>图 1 产品蓝图：围绕看得全、判得准、追得回、管得住形成统一产品叙事。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能力域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页面/入口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核心对象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成功标准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运营监测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Dashboard、Situation Screen、Data Quality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探针、吞吐、丢包、Kafka lag、Flink checkpoint、数据新鲜度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异常先暴露数据质量影响，再解释告警可信度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检测研判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Alert List、Alert Detail、Campaign、Attack Chain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Alert、Evidence、Detection、Campaign、Session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从列表到详情再到处置不丢上下文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取证回溯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Forensics、Graph Explorer、Evidence Card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PCAP index、PCAP cut、hash、signed URL、graph path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可查、可下、可审计、可复验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策略控制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Rule、Deployment、Whitelist、Model、MLOps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Rule、Model、FeatureSet、Deployment、Feedback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发布前可测试，发布后可灰度，异常可回滚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融合治理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Fusion、Asset、Probe、Baseline、Audit、Compliance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Asset、Log、UserEvent、Baseline、AuditLog、Report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多源实体一致，报表可归档，权限负例可证明</w:t>
            </w:r>
          </w:p>
        </w:tc>
      </w:tr>
    </w:tbl>
    <w:p>
      <w:pPr>
        <w:pStyle w:val="Heading2"/>
        <w:keepNext/>
      </w:pPr>
      <w:r>
        <w:t>4.2 功能分组</w:t>
      </w:r>
    </w:p>
    <w:tbl>
      <w:tblPr>
        <w:tblStyle w:val="TableGrid"/>
        <w:tblW w:w="0" w:type="auto"/>
        <w:tblLook w:firstRow="1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功能组</w:t>
            </w:r>
          </w:p>
        </w:tc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功能项</w:t>
            </w:r>
          </w:p>
        </w:tc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对应页面/模块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态势与监控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态势总览、实时趋势、Top 风险、采集健康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/dashboard、/screen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告警研判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告警列表、告警详情、状态流转、反馈、批量操作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/alerts、/alerts/:alertId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攻击链与图谱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攻击阶段、战役评分、实体关系、路径查询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/attack-chains、/graph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取证分析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PCAP 裁剪、任务状态、下载、证据关联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/forensics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检测增强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加密流量、数据融合、行为基准、模型反馈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/encrypted-traffic、/fusion、/baselines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控制治理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规则、部署、探针、白名单、合规审计、系统设置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/rules、/deployments、/probes、/whitelist、/compliance、/settings</w:t>
            </w:r>
          </w:p>
        </w:tc>
      </w:tr>
    </w:tbl>
    <w:p/>
    <w:p>
      <w:pPr>
        <w:pStyle w:val="Heading2"/>
        <w:keepNext/>
      </w:pPr>
      <w:r>
        <w:t>4.3 页面信息架构</w:t>
      </w:r>
    </w:p>
    <w:p>
      <w:pPr>
        <w:jc w:val="center"/>
        <w:spacing w:before="120" w:after="80"/>
      </w:pPr>
      <w:r>
        <w:drawing>
          <wp:inline distT="0" distB="0" distL="0" distR="0">
            <wp:extent cx="5852160" cy="3634499"/>
            <wp:effectExtent l="0" t="0" r="0" b="0"/>
            <wp:docPr id="3" name="Picture 3" descr="图4-3 产品信息架构与页面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3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图4-3 产品信息架构与页面状态</w:t>
      </w:r>
    </w:p>
    <w:p>
      <w:pPr>
        <w:pStyle w:val="Heading1"/>
        <w:keepNext/>
      </w:pPr>
      <w:r>
        <w:t>5. 核心业务流程</w:t>
      </w:r>
    </w:p>
    <w:p>
      <w:pPr>
        <w:pStyle w:val="Heading2"/>
        <w:keepNext/>
      </w:pPr>
      <w:r>
        <w:t>5.1 全流量采集分析闭环</w:t>
      </w:r>
    </w:p>
    <w:p>
      <w:pPr>
        <w:jc w:val="center"/>
        <w:spacing w:before="120" w:after="80"/>
      </w:pPr>
      <w:r>
        <w:drawing>
          <wp:inline distT="0" distB="0" distL="0" distR="0">
            <wp:extent cx="5852160" cy="3291840"/>
            <wp:effectExtent l="0" t="0" r="0" b="0"/>
            <wp:docPr id="4" name="Picture 4" descr="图5-1 端到端业务闭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图5-1 端到端业务闭环</w:t>
      </w:r>
    </w:p>
    <w:p>
      <w:pPr>
        <w:spacing w:after="120" w:line="360" w:lineRule="auto"/>
        <w:ind w:firstLine="420"/>
      </w:pPr>
      <w:r>
        <w:rPr>
          <w:rFonts w:eastAsia="宋体" w:ascii="Calibri" w:hAnsi="Calibri"/>
          <w:sz w:val="21"/>
        </w:rPr>
        <w:t xml:space="preserve">端到端闭环从探针采集开始，经 Kafka、Flink 会话化和特征提取形成检测事件，由告警服务落库、去重和生成证据，再通过 Web UI 支撑研判、取证、反馈和规则/模型回灌。</w:t>
      </w:r>
    </w:p>
    <w:p>
      <w:pPr>
        <w:pStyle w:val="Heading3"/>
      </w:pPr>
      <w:r>
        <w:t>深化融合：功能点流程走向与业务闭环</w:t>
      </w:r>
    </w:p>
    <w:p>
      <w:pPr>
        <w:spacing w:before="0" w:after="160" w:line="264" w:lineRule="auto"/>
        <w:jc w:val="center"/>
      </w:pPr>
      <w:r>
        <w:rPr>
          <w:rFonts w:ascii="Calibri" w:hAnsi="Calibri" w:eastAsia="Microsoft YaHei"/>
          <w:b w:val="0"/>
          <w:i/>
          <w:color w:val="586270"/>
          <w:sz w:val="18"/>
        </w:rPr>
        <w:t>图 2 端到端业务闭环：从数据源进入应用闭环，再通过人工反馈回到规则和模型。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586270"/>
          <w:sz w:val="18"/>
        </w:rPr>
        <w:t>可编辑 FigJam 版本见：https://www.figma.com/board/HRWwzoZ7oYV43JXV1LQ29Y。本地 Mermaid 源已保存到 doc/diagrams/figma_business_closed_loop_2026-06-19.mmd。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40"/>
        <w:gridCol w:w="2340"/>
        <w:gridCol w:w="2340"/>
        <w:gridCol w:w="2340"/>
      </w:tblGrid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功能点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触发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用户可见输出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闭环动作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采集健康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探针上线、镜像口接入、PCAP 回放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探针心跳、吞吐、丢包、接口状态、采集覆盖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异常进入数据质量；影响告警可信度；形成安装验收单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流量采集解析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AF_XDP/AF_PACKET/离线 PCAP 抓包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Flow、Session、DNS/DHCP/ARP 解析、PCAP 索引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解析失败进 DLQ；字段缺失进入质量报告；PCAP 可裁剪取证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接入网关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Probe gRPC 上传 Flow/Session/PCAP Index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接入成功率、限流、去重、DLQ、审计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无证书/无 token fail closed；DLQ 可重放；异常可追责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会话与特征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Kafka flow.events.v1/session.events.v1 到达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Session、FeatureStat、行为基线特征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feature_set_id 和 session_id 可追溯；异常回写数据质量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规则检测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特征或会话触发规则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Detection、命中规则、严重度、解释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FP 进入白名单或规则复审；规则版本可灰度回滚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行为检测/MLOps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特征流与模型更新事件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行为异常、模型版本、置信度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反馈样本触发重训；评估门禁不达标禁止激活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CEP/攻击链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多个 Detection 或 Alert 命中时序模式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Campaign、攻击阶段、相关告警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研判结果反哺关联规则；误关联进入样本库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告警运营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Detection 生成告警或用户查询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列表、详情、证据、状态、指派、批量处置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状态机、反馈、审计、通知、报表形成闭环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PCAP 取证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研判员从告警发起裁剪/下载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PCAP cut、hash、签名链接、任务状态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下载审计、跨租户拒绝、过期策略、证据归档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图谱探索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告警实体或资产跳转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节点、边、路径、攻击阶段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慢查询保护；路径纳入报告；图谱关系被纠错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合规审计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查询、下载、导出、变更、登录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审计日志、合规报告、证据包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高敏操作不可丢审计；断 Kafka 时拒绝或可靠缓冲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验收看板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版本冻结、测试执行、第三方测试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指标、样本、报告、截图、缺陷状态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未达标项进入专项补强；达标项归档并签名</w:t>
            </w:r>
          </w:p>
        </w:tc>
      </w:tr>
    </w:tbl>
    <w:p>
      <w:pPr>
        <w:pStyle w:val="Heading2"/>
        <w:keepNext/>
      </w:pPr>
      <w:r>
        <w:t>5.2 告警运营闭环</w:t>
      </w:r>
    </w:p>
    <w:p>
      <w:pPr>
        <w:jc w:val="center"/>
        <w:spacing w:before="120" w:after="80"/>
      </w:pPr>
      <w:r>
        <w:drawing>
          <wp:inline distT="0" distB="0" distL="0" distR="0">
            <wp:extent cx="5852160" cy="3641344"/>
            <wp:effectExtent l="0" t="0" r="0" b="0"/>
            <wp:docPr id="5" name="Picture 5" descr="图5-2 告警运营闭环泳道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image5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4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图5-2 告警运营闭环泳道图</w:t>
      </w:r>
    </w:p>
    <w:p>
      <w:pPr>
        <w:pStyle w:val="Heading2"/>
        <w:keepNext/>
      </w:pPr>
      <w:r>
        <w:t>5.3 告警状态机</w:t>
      </w:r>
    </w:p>
    <w:p>
      <w:pPr>
        <w:jc w:val="center"/>
        <w:spacing w:before="120" w:after="80"/>
      </w:pPr>
      <w:r>
        <w:drawing>
          <wp:inline distT="0" distB="0" distL="0" distR="0">
            <wp:extent cx="5852160" cy="3449694"/>
            <wp:effectExtent l="0" t="0" r="0" b="0"/>
            <wp:docPr id="6" name="Picture 6" descr="图5-3 告警状态机与操作约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6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4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图5-3 告警状态机与操作约束</w:t>
      </w:r>
    </w:p>
    <w:tbl>
      <w:tblPr>
        <w:tblStyle w:val="TableGrid"/>
        <w:tblW w:w="0" w:type="auto"/>
        <w:tblLook w:firstRow="1" w:noHBand="0" w:noVBand="1"/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状态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进入条件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允许动作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审计要求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new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系统新生成告警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初筛、指派、误报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记录生成来源和初始严重级别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triage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进入初筛研判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指派、误报、升级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记录研判人和理由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assigned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已分派责任人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开始处理、改派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记录新旧责任人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in_progress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处置进行中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解决、退回、补充证据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记录处置动作和证据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resolved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处置完成待确认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关闭、重开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记录验证结果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closed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确认闭环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只读归档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保留最终结论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false_positive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确认为误报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生成白名单草稿、规则复审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记录原因码和反馈标签</w:t>
            </w:r>
          </w:p>
        </w:tc>
      </w:tr>
    </w:tbl>
    <w:p/>
    <w:p>
      <w:pPr>
        <w:pStyle w:val="Heading1"/>
        <w:keepNext/>
      </w:pPr>
      <w:r>
        <w:t>6. 页面与交互设计</w:t>
      </w:r>
    </w:p>
    <w:p>
      <w:pPr>
        <w:pStyle w:val="Heading2"/>
        <w:keepNext/>
      </w:pPr>
      <w:r>
        <w:t>6.1 导航结构</w:t>
      </w:r>
    </w:p>
    <w:tbl>
      <w:tblPr>
        <w:tblStyle w:val="TableGrid"/>
        <w:tblW w:w="0" w:type="auto"/>
        <w:tblLook w:firstRow="1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路由</w:t>
            </w:r>
          </w:p>
        </w:tc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页面名称</w:t>
            </w:r>
          </w:p>
        </w:tc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产品定位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/dashboard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仪表盘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安全态势、指标趋势和风险入口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/alerts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告警中心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告警筛选、批量操作和状态管理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/alerts/:alertId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告警详情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证据、状态时间线、反馈和处置闭环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/attack-chains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攻击链分析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战役阶段、关联告警和风险评分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/encrypted-traffic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加密流量分析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TLS/QUIC、JA3 指纹和隧道外传分析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/rules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规则管理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规则编辑、测试、发布和回滚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/deployments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部署管理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规则/模型/探针部署状态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/forensics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取证分析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PCAP 裁剪、任务和下载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/graph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实体图谱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实体关系、路径查询和关联分析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/fusion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数据融合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数据源、实体对齐和融合质量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/baselines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行为基准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静态基线、动态学习和偏离检测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/probes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探针管理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探针注册、心跳、版本和配置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/whitelist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白名单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误报沉淀、规则生效和过期管理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/compliance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合规审计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报告生成、审计轨迹和导出留痕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/settings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系统设置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租户、用户、参数和系统配置</w:t>
            </w:r>
          </w:p>
        </w:tc>
      </w:tr>
    </w:tbl>
    <w:p/>
    <w:p>
      <w:pPr>
        <w:pStyle w:val="Heading2"/>
        <w:keepNext/>
      </w:pPr>
      <w:r>
        <w:t>6.2 页面规格矩阵</w:t>
      </w:r>
    </w:p>
    <w:p>
      <w:pPr>
        <w:jc w:val="center"/>
        <w:spacing w:before="120" w:after="80"/>
      </w:pPr>
      <w:r>
        <w:drawing>
          <wp:inline distT="0" distB="0" distL="0" distR="0">
            <wp:extent cx="5852160" cy="3634499"/>
            <wp:effectExtent l="0" t="0" r="0" b="0"/>
            <wp:docPr id="7" name="Picture 7" descr="图6-1 页面级产品规格矩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image7.pn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3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图6-1 页面级产品规格矩阵</w:t>
      </w:r>
    </w:p>
    <w:p>
      <w:pPr>
        <w:jc w:val="center"/>
        <w:spacing w:before="120" w:after="80"/>
      </w:pPr>
      <w:r>
        <w:drawing>
          <wp:inline distT="0" distB="0" distL="0" distR="0">
            <wp:extent cx="5852160" cy="3641344"/>
            <wp:effectExtent l="0" t="0" r="0" b="0"/>
            <wp:docPr id="8" name="Picture 8" descr="图6-2 页面原型级产品设计总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8.png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4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图6-2 页面原型级产品设计总览</w:t>
      </w:r>
    </w:p>
    <w:p>
      <w:pPr>
        <w:pStyle w:val="Heading2"/>
        <w:keepNext/>
      </w:pPr>
      <w:r>
        <w:t>6.3 核心页面说明</w:t>
      </w:r>
    </w:p>
    <w:tbl>
      <w:tblPr>
        <w:tblStyle w:val="TableGrid"/>
        <w:tblW w:w="0" w:type="auto"/>
        <w:tblLook w:firstRow="1" w:noHBand="0" w:noVBand="1"/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页面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首屏信息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主操作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异常态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仪表盘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告警总览、趋势、最新告警、Top 资产、采集健康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切换时间窗、进入详情、大屏跳转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无数据、采集延迟、接口失败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告警中心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列表、严重级别、状态、分派人、证据数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筛选、批量分派、导出、状态变更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空筛选、权限不足、导出失败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告警详情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摘要、证据、时间线、处置记录、反馈入口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指派、处置、误报、关闭、白名单草稿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证据缺失、状态冲突、下载过期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取证分析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PCAP 索引、任务、文件状态、下载链接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创建任务、查看进度、下载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生成中、失败、链接过期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实体图谱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实体、关系边、风险标签、路径结果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搜索、展开、路径查询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节点过多、查询超时、权限不足</w:t>
            </w:r>
          </w:p>
        </w:tc>
      </w:tr>
    </w:tbl>
    <w:p/>
    <w:p>
      <w:pPr>
        <w:pStyle w:val="Heading2"/>
        <w:keepNext/>
      </w:pPr>
      <w:r>
        <w:t>6.4 异常态、空状态与权限态</w:t>
      </w:r>
    </w:p>
    <w:tbl>
      <w:tblPr>
        <w:tblStyle w:val="TableGrid"/>
        <w:tblW w:w="0" w:type="auto"/>
        <w:tblLook w:firstRow="1" w:noHBand="0" w:noVBand="1"/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状态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触发条件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页面反馈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恢复动作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空状态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无数据或筛选无结果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说明当前筛选条件和数据时间窗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重置筛选、扩大时间窗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接口失败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API 超时、后端错误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展示错误摘要和请求 ID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重试、联系管理员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权限不足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角色无操作权限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按钮置灰并提示所需权限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申请权限、返回上一页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任务处理中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PCAP/报表/图谱计算未完成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展示进度、排队位置和刷新入口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刷新、取消任务</w:t>
            </w:r>
          </w:p>
        </w:tc>
      </w:tr>
    </w:tbl>
    <w:p/>
    <w:p>
      <w:pPr>
        <w:pStyle w:val="Heading1"/>
        <w:keepNext/>
      </w:pPr>
      <w:r>
        <w:t>7. 功能需求详细设计</w:t>
      </w:r>
    </w:p>
    <w:p>
      <w:pPr>
        <w:pStyle w:val="Heading2"/>
        <w:keepNext/>
      </w:pPr>
      <w:r>
        <w:t>7.1 全流量采集</w:t>
      </w:r>
    </w:p>
    <w:p>
      <w:pPr>
        <w:spacing w:after="120" w:line="360" w:lineRule="auto"/>
        <w:ind w:firstLine="420"/>
      </w:pPr>
      <w:r>
        <w:rPr>
          <w:rFonts w:eastAsia="宋体" w:ascii="Calibri" w:hAnsi="Calibri"/>
          <w:sz w:val="21"/>
        </w:rPr>
        <w:t xml:space="preserve">全流量采集能力面向园区核心链路、服务器区、出口区和关键业务区部署探针，提供探针在线状态、版本、采集口、吞吐、丢包、心跳和配置下发视图。</w:t>
      </w:r>
    </w:p>
    <w:p>
      <w:pPr>
        <w:pStyle w:val="Heading2"/>
        <w:keepNext/>
      </w:pPr>
      <w:r>
        <w:t>7.2 会话与特征工程</w:t>
      </w:r>
    </w:p>
    <w:p>
      <w:pPr>
        <w:spacing w:after="120" w:line="360" w:lineRule="auto"/>
        <w:ind w:firstLine="420"/>
      </w:pPr>
      <w:r>
        <w:rPr>
          <w:rFonts w:eastAsia="宋体" w:ascii="Calibri" w:hAnsi="Calibri"/>
          <w:sz w:val="21"/>
        </w:rPr>
        <w:t xml:space="preserve">会话与特征工程将 FlowEvent 聚合为 Session，并形成 L1/L2 特征，为规则、模型、加密流量识别、行为基准和攻击链关联提供统一输入。</w:t>
      </w:r>
    </w:p>
    <w:p>
      <w:pPr>
        <w:pStyle w:val="Heading2"/>
        <w:keepNext/>
      </w:pPr>
      <w:r>
        <w:t>7.3 检测与告警</w:t>
      </w:r>
    </w:p>
    <w:p>
      <w:pPr>
        <w:spacing w:after="120" w:line="360" w:lineRule="auto"/>
        <w:ind w:firstLine="420"/>
      </w:pPr>
      <w:r>
        <w:rPr>
          <w:rFonts w:eastAsia="宋体" w:ascii="Calibri" w:hAnsi="Calibri"/>
          <w:sz w:val="21"/>
        </w:rPr>
        <w:t xml:space="preserve">检测与告警能力包括规则命中、行为偏离、CEP 攻击阶段识别、模型评分、告警去重、证据生成、状态流转和通知订阅。</w:t>
      </w:r>
    </w:p>
    <w:p>
      <w:pPr>
        <w:pStyle w:val="Heading2"/>
        <w:keepNext/>
      </w:pPr>
      <w:r>
        <w:t>7.4 取证与实体图谱</w:t>
      </w:r>
    </w:p>
    <w:p>
      <w:pPr>
        <w:spacing w:after="120" w:line="360" w:lineRule="auto"/>
        <w:ind w:firstLine="420"/>
      </w:pPr>
      <w:r>
        <w:rPr>
          <w:rFonts w:eastAsia="宋体" w:ascii="Calibri" w:hAnsi="Calibri"/>
          <w:sz w:val="21"/>
        </w:rPr>
        <w:t xml:space="preserve">取证与实体图谱能力支持 PCAP 裁剪、对象存储下载、会话证据回溯、实体关系展开和路径查询，使研判人员能够从单条告警追溯到流量、资产和攻击链。</w:t>
      </w:r>
    </w:p>
    <w:p>
      <w:pPr>
        <w:pStyle w:val="Heading2"/>
        <w:keepNext/>
      </w:pPr>
      <w:r>
        <w:t>7.5 加密流量、数据融合、行为基准与合规审计</w:t>
      </w:r>
    </w:p>
    <w:p>
      <w:pPr>
        <w:spacing w:after="120" w:line="360" w:lineRule="auto"/>
        <w:ind w:firstLine="420"/>
      </w:pPr>
      <w:r>
        <w:rPr>
          <w:rFonts w:eastAsia="宋体" w:ascii="Calibri" w:hAnsi="Calibri"/>
          <w:sz w:val="21"/>
        </w:rPr>
        <w:t xml:space="preserve">扩展分析能力覆盖 TLS/QUIC 加密流量、JA3 指纹、数据源融合、实体对齐、静态/动态行为基线和合规审计报告。当前前端代码已经具备对应页面入口。</w:t>
      </w:r>
    </w:p>
    <w:p>
      <w:pPr>
        <w:pStyle w:val="Heading2"/>
        <w:keepNext/>
      </w:pPr>
      <w:r>
        <w:t>7.6 规则、模型、白名单与部署管理</w:t>
      </w:r>
    </w:p>
    <w:p>
      <w:pPr>
        <w:spacing w:after="120" w:line="360" w:lineRule="auto"/>
        <w:ind w:firstLine="420"/>
      </w:pPr>
      <w:r>
        <w:rPr>
          <w:rFonts w:eastAsia="宋体" w:ascii="Calibri" w:hAnsi="Calibri"/>
          <w:sz w:val="21"/>
        </w:rPr>
        <w:t xml:space="preserve">控制治理能力包括规则编辑测试、版本发布回滚、模型注册和热更新、白名单草稿审批、部署状态监控和系统参数配置。</w:t>
      </w:r>
    </w:p>
    <w:tbl>
      <w:tblPr>
        <w:tblStyle w:val="TableGrid"/>
        <w:tblW w:w="0" w:type="auto"/>
        <w:tblLook w:firstRow="1" w:noHBand="0" w:noVBand="1"/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编号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功能域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需求说明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验收口径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FR-01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全流量采集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支持多探针接入、心跳、版本、采集口、吞吐和丢包监控。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探针状态可视化，异常有排障建议。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FR-02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会话与特征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将 FlowEvent 会话化并生成 L1/L2 特征。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页面和告警可追溯到 session_id、feature_set_id。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FR-03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检测与告警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规则、模型、行为基准、CEP 产生检测事件并生成告警。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告警有严重级别、评分、证据和版本信息。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FR-04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取证与图谱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支持 PCAP 裁剪、下载、实体图谱和路径查询。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取证结果与告警、会话、实体可互跳。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FR-05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融合与合规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支持多源数据融合、合规审计、报告导出。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报表口径与页面指标一致，导出有留痕。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FR-06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控制治理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规则、部署、探针、白名单和系统设置可配置。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高风险操作需确认、权限和审计。</w:t>
            </w:r>
          </w:p>
        </w:tc>
      </w:tr>
    </w:tbl>
    <w:p/>
    <w:p>
      <w:pPr>
        <w:pStyle w:val="Heading1"/>
        <w:keepNext/>
      </w:pPr>
      <w:r>
        <w:t>8. 数据口径与产品指标</w:t>
      </w:r>
    </w:p>
    <w:p>
      <w:pPr>
        <w:pStyle w:val="Heading2"/>
        <w:keepNext/>
      </w:pPr>
      <w:r>
        <w:t>8.1 页面字段口径</w:t>
      </w:r>
    </w:p>
    <w:p>
      <w:pPr>
        <w:spacing w:after="120" w:line="360" w:lineRule="auto"/>
        <w:ind w:firstLine="420"/>
      </w:pPr>
      <w:r>
        <w:rPr>
          <w:rFonts w:eastAsia="宋体" w:ascii="Calibri" w:hAnsi="Calibri"/>
          <w:sz w:val="21"/>
        </w:rPr>
        <w:t xml:space="preserve">页面字段口径以 proto、TypeScript 类型和后端 DTO 为准，重点保证严重级别、状态、评分、时间、会话、证据、规则版本、模型版本等字段在列表、详情、导出和报表中使用同一名称。</w:t>
      </w:r>
    </w:p>
    <w:p>
      <w:pPr>
        <w:pStyle w:val="Heading2"/>
        <w:keepNext/>
      </w:pPr>
      <w:r>
        <w:t>8.2 指标口径</w:t>
      </w:r>
    </w:p>
    <w:p>
      <w:pPr>
        <w:spacing w:after="120" w:line="360" w:lineRule="auto"/>
        <w:ind w:firstLine="420"/>
      </w:pPr>
      <w:r>
        <w:rPr>
          <w:rFonts w:eastAsia="宋体" w:ascii="Calibri" w:hAnsi="Calibri"/>
          <w:sz w:val="21"/>
        </w:rPr>
        <w:t xml:space="preserve">指标口径需要同时覆盖采集健康、检测质量、运营效率和处置效果。所有指标必须标注时间窗、刷新时间和过滤条件。</w:t>
      </w:r>
    </w:p>
    <w:p>
      <w:pPr>
        <w:pStyle w:val="Heading2"/>
        <w:keepNext/>
      </w:pPr>
      <w:r>
        <w:t>8.3 数据质量与可信度</w:t>
      </w:r>
    </w:p>
    <w:p>
      <w:pPr>
        <w:spacing w:after="120" w:line="360" w:lineRule="auto"/>
        <w:ind w:firstLine="420"/>
      </w:pPr>
      <w:r>
        <w:rPr>
          <w:rFonts w:eastAsia="宋体" w:ascii="Calibri" w:hAnsi="Calibri"/>
          <w:sz w:val="21"/>
        </w:rPr>
        <w:t xml:space="preserve">数据质量通过解析成功率、证据完整率、迟到数据、DLQ 数量、探针心跳和存储写入错误来衡量，异常指标需在仪表盘或运维视图中给出解释。</w:t>
      </w:r>
    </w:p>
    <w:tbl>
      <w:tblPr>
        <w:tblStyle w:val="TableGrid"/>
        <w:tblW w:w="0" w:type="auto"/>
        <w:tblLook w:firstRow="1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字段/指标</w:t>
            </w:r>
          </w:p>
        </w:tc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口径</w:t>
            </w:r>
          </w:p>
        </w:tc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来源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severity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info/low/medium/high/critical，与 proto Severity 对齐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alert.ts、alert.proto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status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new/triage/assigned/in_progress/resolved/closed/false_positive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alert.ts、状态机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score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检测评分或融合评分，列表用于排序和风险呈现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告警服务、规则/模型输出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community_id/session_id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会话关联字段，支撑取证和图谱联动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Flow/Session 数据链路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端到端延迟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alert.ingest_ts - flow.ts_end 的 P50/P95/P99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ClickHouse 与告警入库时间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证据完整率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告警关联证据必填项完成比例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Evidence、PCAP、Graph、Arkime 链接</w:t>
            </w:r>
          </w:p>
        </w:tc>
      </w:tr>
    </w:tbl>
    <w:p/>
    <w:p>
      <w:pPr>
        <w:pStyle w:val="Heading1"/>
        <w:keepNext/>
      </w:pPr>
      <w:r>
        <w:t>9. 权限、安全与审计</w:t>
      </w:r>
    </w:p>
    <w:tbl>
      <w:tblPr>
        <w:tblStyle w:val="TableGrid"/>
        <w:tblW w:w="0" w:type="auto"/>
        <w:tblLook w:firstRow="1" w:noHBand="0" w:noVBand="1"/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操作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风险等级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权限要求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审计内容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规则发布/回滚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高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管理员或授权规则负责人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规则版本、影响范围、操作者、结果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白名单启用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高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管理员审批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来源告警、有效期、原因、审批人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PCAP 下载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高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研判员以上且具备取证权限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任务 ID、下载人、时间、文件有效期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告警关闭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中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研判员或责任人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关闭原因、处置结论、状态版本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报表导出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中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合规审计角色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导出条件、文件名、请求 ID</w:t>
            </w:r>
          </w:p>
        </w:tc>
      </w:tr>
    </w:tbl>
    <w:p/>
    <w:p>
      <w:pPr>
        <w:pStyle w:val="Heading1"/>
        <w:keepNext/>
      </w:pPr>
      <w:r>
        <w:t>10. 非功能产品要求</w:t>
      </w:r>
    </w:p>
    <w:tbl>
      <w:tblPr>
        <w:tblStyle w:val="TableGrid"/>
        <w:tblW w:w="0" w:type="auto"/>
        <w:tblLook w:firstRow="1" w:noHBand="0" w:noVBand="1"/>
      </w:tblPr>
      <w:tblGrid>
        <w:gridCol w:w="4500"/>
        <w:gridCol w:w="4500"/>
      </w:tblGrid>
      <w:tr>
        <w:tc>
          <w:tcPr>
            <w:tcW w:w="45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类别</w:t>
            </w:r>
          </w:p>
        </w:tc>
        <w:tc>
          <w:tcPr>
            <w:tcW w:w="45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要求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易用性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操作型页面以高密度表格、筛选、批量操作和详情抽屉为主；展示型页面强调指标可读性。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一致性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页面名称、字段、状态、图题和 PPT 口径保持一致。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可解释性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告警必须提供证据、规则/模型版本、时间线和处置建议。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响应式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桌面端优先，宽屏支持列表+详情，窄屏保留核心筛选和主操作。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可演示性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演示路径应覆盖仪表盘、告警、取证、图谱、规则反馈和报表。</w:t>
            </w:r>
          </w:p>
        </w:tc>
      </w:tr>
    </w:tbl>
    <w:p/>
    <w:p>
      <w:pPr>
        <w:pStyle w:val="Heading1"/>
        <w:keepNext/>
      </w:pPr>
      <w:r>
        <w:t>11. 验收、运营与评审门禁</w:t>
      </w:r>
    </w:p>
    <w:p>
      <w:pPr>
        <w:jc w:val="center"/>
        <w:spacing w:before="120" w:after="80"/>
      </w:pPr>
      <w:r>
        <w:drawing>
          <wp:inline distT="0" distB="0" distL="0" distR="0">
            <wp:extent cx="5852160" cy="3641344"/>
            <wp:effectExtent l="0" t="0" r="0" b="0"/>
            <wp:docPr id="9" name="Picture 9" descr="图11-1 产品设计文档评审门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9.png"/>
                    <pic:cNvPicPr/>
                  </pic:nvPicPr>
                  <pic:blipFill>
                    <a:blip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4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图11-1 产品设计文档评审门禁</w:t>
      </w:r>
    </w:p>
    <w:tbl>
      <w:tblPr>
        <w:tblStyle w:val="TableGrid"/>
        <w:tblW w:w="0" w:type="auto"/>
        <w:tblLook w:firstRow="1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验收项</w:t>
            </w:r>
          </w:p>
        </w:tc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验收方式</w:t>
            </w:r>
          </w:p>
        </w:tc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通过标准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页面清单完整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对照前端路由逐项核对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文档覆盖全部实现页面。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主流程可演示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仪表盘→告警详情→取证/图谱→关闭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跳转保留上下文。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状态流转受控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不同角色执行告警状态动作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非法动作不可用，合法动作审计。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指标口径一致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对照接口和数据库字段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页面、文档、PPT 使用同一口径。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图表可复用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检查 Word 和 Figma 图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图题清晰、布局可读、可用于汇报。</w:t>
            </w:r>
          </w:p>
        </w:tc>
      </w:tr>
    </w:tbl>
    <w:p/>
    <w:p>
      <w:pPr>
        <w:pStyle w:val="Heading3"/>
      </w:pPr>
      <w:r>
        <w:t>深化融合：验收证据分层与竞争力设计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层级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证明什么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不能证明什么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必须归档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Smoke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页面、API、Kafka/Flink/DB/UI 主链路未断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线速性能、检测质量、第三方结论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截图、日志、接口响应、版本号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Regression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版本变更未破坏状态机、取证、反馈、权限负例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10 x 100Gbps、95%/5%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自动化报告、失败项、修复记录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Acceptance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吞吐、P95、准确率、误报率、安全、HA 达到口径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外部机构认可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压测报告、样本集、混淆矩阵、RTO/RPO、安全负测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Third-party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CNAS/第三方测试通过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持续运行和后续迭代质量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第三方报告、试点证明、经济效益材料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40"/>
        <w:gridCol w:w="2340"/>
        <w:gridCol w:w="2340"/>
        <w:gridCol w:w="2340"/>
      </w:tblGrid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对比对象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常见优势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常见短板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本系统差异化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SIEM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日志汇聚、规则关联、合规报表成熟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缺原始网络证据，流量细节依赖外部传感器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以全流量遥测和 PCAP 证据补齐日志盲区，再回到合规报表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IDS/IPS/Suricata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高性能规则检测、协议解析、IDS/IPS/NSM 能力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告警运营、误报学习和项目验收证据通常需另建平台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把规则命中、行为模型、CEP、状态机、反馈和验收证据放进同一闭环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Zeek 类 NSM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协议语义日志和网络安全监测灵活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取证、处置和模型闭环需要外部拼装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保留协议/会话视角，同时向 PCAP、图谱和 MLOps 延伸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Arkime/FPC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大规模 PCAP 存储、索引、搜索和导出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偏网络取证，不覆盖完整检测与反馈学习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把 PCAP 作为告警证据和验收证据，而不是孤立包库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泛 NDR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网络检测响应理念完整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泛化卖点多，项目验收口径未必清楚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面向园区与课题一指标，把试点、样本、P95、95%/5%、CNAS 证据作为产品核心</w:t>
            </w:r>
          </w:p>
        </w:tc>
      </w:tr>
    </w:tbl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586270"/>
          <w:sz w:val="19"/>
        </w:rPr>
        <w:t>外部参照：NIST CSF 2.0 将网络安全成果组织为 Govern、Identify、Protect、Detect、Respond、Recover；MITRE ATT&amp;CK 将 Network Traffic Content 定义为支持 C2、外传和可疑通信取证的 PCAP 或会话数据；Zeek、Suricata、Arkime 分别提供 NSM、IDS/IPS/NSM、全包捕获索引的成熟参照。</w:t>
      </w:r>
    </w:p>
    <w:p>
      <w:pPr>
        <w:pStyle w:val="Heading1"/>
        <w:keepNext/>
      </w:pPr>
      <w:r>
        <w:t>12. 需求追溯、决策记录与开放问题</w:t>
      </w:r>
    </w:p>
    <w:tbl>
      <w:tblPr>
        <w:tblStyle w:val="TableGrid"/>
        <w:tblW w:w="0" w:type="auto"/>
        <w:tblLook w:firstRow="1" w:noHBand="0" w:noVBand="1"/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追溯对象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产品章节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技术章节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验收材料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全流量采集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2、4、7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3、4、5、7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探针状态、流量事件、采集延迟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告警研判闭环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5、6、8、9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4、6、7、8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状态机、审计日志、反馈记录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取证回溯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5、6、7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4、5、6、7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PCAP 任务、下载链接、证据关联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运营报表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8、10、11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10、11、12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指标看板、合规报告、PPT</w:t>
            </w:r>
          </w:p>
        </w:tc>
      </w:tr>
    </w:tbl>
    <w:p/>
    <w:p>
      <w:pPr>
        <w:jc w:val="center"/>
        <w:spacing w:before="120" w:after="80"/>
      </w:pPr>
      <w:r>
        <w:drawing>
          <wp:inline distT="0" distB="0" distL="0" distR="0">
            <wp:extent cx="5852160" cy="3449694"/>
            <wp:effectExtent l="0" t="0" r="0" b="0"/>
            <wp:docPr id="10" name="Picture 10" descr="图12-1 产品成熟度与迭代优先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0.png"/>
                    <pic:cNvPicPr/>
                  </pic:nvPicPr>
                  <pic:blipFill>
                    <a:blip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4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图12-1 产品成熟度与迭代优先级</w:t>
      </w:r>
    </w:p>
    <w:p>
      <w:pPr>
        <w:pStyle w:val="Heading3"/>
      </w:pPr>
      <w:r>
        <w:t>深化融合：差距路线、开放问题与30天行动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优先级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差距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影响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补强动作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P0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任务书指标与功能/代码/证据尚未形成唯一追踪矩阵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评审时无法证明“做的功能”对应“验收指标”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建立 REQ-T1-*，绑定页面、API、topic、表、测试、报告、责任人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P0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95%/5% 和未知攻击检测缺少冻结样本集、盲测集和混淆矩阵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无法通过第三方质量验证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定义正常/已知/未知/加密/横向移动样本包，输出 accuracy、FPR、recall、confidence interval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P0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10 x 100Gbps、512Mpps、P95 &lt;=60s 仍为待专项验证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无法证明工程性能上限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补流量发生器、分区/并行度、端到端时间戳链和自动报告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P0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Topic 名称存在漂移风险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上下游消费失败或告警链路断裂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建立 Topic Catalog；启动前校验；生成 create-topics、Flink 配置和文档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P1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生产安全基线未完全闭环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敏感证据泄露、越权、审计缺失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Kafka SASL/TLS/ACL、ExternalSecret、NetworkPolicy、PCAP 短期签名 URL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P1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多租户隔离和前端路由鉴权偏轻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跨租户数据泄露或只读大屏越权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网关注入 tenant 并签名；路由权限矩阵；无 tenant fail closed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P1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MLOps 门禁偏功能化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模型上线可能拉高误报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加样本量、误报率、未知攻击召回、数据漂移、champion/challenger、回滚策略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P2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验收材料分层不够产品化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Smoke 被误当验收通过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区分 Smoke/Regression/Acceptance/Third-party，形成证据包索引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工程原则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0"/>
              </w:rPr>
              <w:t>所有补强动作都要形成闭环：配置有来源、变更有审批、发布有灰度、失败有回滚、操作有审计、指标有样本、结论有证据。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40"/>
        <w:gridCol w:w="2340"/>
        <w:gridCol w:w="2340"/>
        <w:gridCol w:w="2340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问题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为什么重要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建议 Owner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关闭标准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全流量口径与保留期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实时全量 Flow 与原始 PCAP 无限保存不是同一件事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产品/架构/合规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形成 Flow、Session、PCAP、日志的采样/保留/脱敏策略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未知攻击检测定义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未知攻击若无样本和口径，无法证明达标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算法/第三方测试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冻结开集测试集、标签规则、统计公式和盲测流程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跨课题接口边界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课题二/四/五会使用课题一数据，但责任不能混淆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项目管理/架构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RACI 和 Kafka/API 接口协议签字确认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生产安全红线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PCAP、资产、用户行为均为高敏数据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安全/运维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SASL/TLS/ACL、RBAC、NetworkPolicy、审计负测通过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高带宽压测资源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没有流量发生器和拓扑就无法证明 100Gbps/512Mpps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性能/Probe/SRE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压测方案、设备、脚本、报告模板和基线全部冻结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发布可复现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远程工作树和镜像标签若漂移，第三方复测不可复现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DevOps/QA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冻结 commit、镜像 digest、DDL、topic、模型、规则、样本包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周次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产品动作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工程动作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验收动作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第 1 周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冻结能力地图、REQ-T1 编号、验收演示脚本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生成 Topic Catalog、端到端时间戳字段方案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建立证据包目录和报告模板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第 2 周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告警详情改为证据优先；补数据质量影响提示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实现 topic 启动校验、反馈原因码、PCAP 审计负例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完成 Smoke/Regression 自动化清单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第 3 周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MLOps 门禁和回滚流程产品化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样本集抽取、模型评估脚本、Flink 热更新审计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输出第一版混淆矩阵和误报归因报告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第 4 周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试点周报和园区负责人价值页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压力场景脚本、Kafka/Flink/CH 容量参数基线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形成 P95/吞吐/丢包专项测试预案</w:t>
            </w:r>
          </w:p>
        </w:tc>
      </w:tr>
    </w:tbl>
    <w:p>
      <w:pPr>
        <w:pStyle w:val="Heading1"/>
        <w:keepNext/>
      </w:pPr>
      <w:r>
        <w:t>13. 附录：产品规范化交付清单</w:t>
      </w:r>
    </w:p>
    <w:p>
      <w:pPr>
        <w:spacing w:after="120" w:line="360" w:lineRule="auto"/>
        <w:ind w:firstLine="420"/>
      </w:pPr>
      <w:r>
        <w:rPr>
          <w:rFonts w:eastAsia="宋体" w:ascii="Calibri" w:hAnsi="Calibri"/>
          <w:sz w:val="21"/>
        </w:rPr>
        <w:t xml:space="preserve">本附录用于支撑产品设计文档的版本管理、评审检查和交付验收。它不改变前文产品范围，而是为后续评审、研发拆解、测试验收和现场交付提供可执行的检查入口。</w:t>
      </w:r>
    </w:p>
    <w:p>
      <w:pPr>
        <w:pStyle w:val="Heading2"/>
        <w:keepNext/>
      </w:pPr>
      <w:r>
        <w:t>13.1 文档版本与变更记录</w:t>
      </w:r>
    </w:p>
    <w:tbl>
      <w:tblPr>
        <w:tblStyle w:val="TableGrid"/>
        <w:tblW w:w="0" w:type="auto"/>
        <w:tblLook w:firstRow="1" w:noHBand="0" w:noVBand="1"/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版本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日期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变更内容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依据/责任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V2.0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2026-06-17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按 PRD/产品规格说明书结构完成标题大纲重构，归并历史多轮追加内容。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任务书、实施方案、agent.md、现有代码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V2.1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2026-06-17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补充规范化交付清单、追溯矩阵、角色权限矩阵和页面状态检查表。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文档规范化增强</w:t>
            </w:r>
          </w:p>
        </w:tc>
      </w:tr>
    </w:tbl>
    <w:p/>
    <w:p>
      <w:pPr>
        <w:pStyle w:val="Heading2"/>
        <w:keepNext/>
      </w:pPr>
      <w:r>
        <w:t>13.2 PRD章节完备性检查</w:t>
      </w:r>
    </w:p>
    <w:tbl>
      <w:tblPr>
        <w:tblStyle w:val="TableGrid"/>
        <w:tblW w:w="0" w:type="auto"/>
        <w:tblLook w:firstRow="1" w:noHBand="0" w:noVBand="1"/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检查项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规范要求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当前覆盖章节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维护建议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业务目标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说明产品定位、建设目标、业务边界和版本范围。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第2章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版本范围变化时同步更新优先级。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用户与场景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定义用户角色、典型场景、用户故事和验收条件。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第3章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现场试点后补充真实案例。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页面与流程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覆盖导航、页面规格、核心流程、异常态和权限态。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第5章、第6章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新增页面时同步更新路由和页面矩阵。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功能需求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按功能域给出需求说明和验收口径。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第7章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需求变更需维护编号和追溯关系。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数据与指标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说明字段、指标、质量和可信度口径。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第8章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接口字段变更时同步校对。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验收运营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形成评审门禁、验收项和运营闭环。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第11章、第12章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每次交付前执行清单检查。</w:t>
            </w:r>
          </w:p>
        </w:tc>
      </w:tr>
    </w:tbl>
    <w:p/>
    <w:p>
      <w:pPr>
        <w:pStyle w:val="Heading2"/>
        <w:keepNext/>
      </w:pPr>
      <w:r>
        <w:t>13.3 需求-页面-接口-验收追溯矩阵</w:t>
      </w:r>
    </w:p>
    <w:tbl>
      <w:tblPr>
        <w:tblStyle w:val="TableGrid"/>
        <w:tblW w:w="0" w:type="auto"/>
        <w:tblLook w:firstRow="1" w:noHBand="0" w:noVBand="1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需求编号</w:t>
            </w:r>
          </w:p>
        </w:tc>
        <w:tc>
          <w:tcPr>
            <w:tcW w:w="18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产品能力</w:t>
            </w:r>
          </w:p>
        </w:tc>
        <w:tc>
          <w:tcPr>
            <w:tcW w:w="18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页面入口</w:t>
            </w:r>
          </w:p>
        </w:tc>
        <w:tc>
          <w:tcPr>
            <w:tcW w:w="18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接口/数据对象</w:t>
            </w:r>
          </w:p>
        </w:tc>
        <w:tc>
          <w:tcPr>
            <w:tcW w:w="18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验收方式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PRD-FR-01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全流量采集与探针健康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/dashboard、/probes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ProbeInfo、FlowEvent、flow.events.v1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模拟探针心跳、吞吐、丢包和异常提示。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PRD-FR-02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告警筛选与处置闭环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/alerts、/alerts/:alertId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Alert、Evidence、AlertStateTransition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执行筛选、指派、处置、关闭和误报路径。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PRD-FR-03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攻击链与实体图谱研判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/attack-chains、/graph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Campaign、GraphNode、GraphEdge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从战役阶段跳转到告警和实体路径查询。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PRD-FR-04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PCAP 取证回溯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/forensics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PcapCutRequest、PcapCutJob、MinIO Object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创建取证任务并验证下载链接有效期。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PRD-FR-05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规则、模型、白名单治理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/rules、/deployments、/whitelist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Rule、Deployment、WhitelistRule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规则测试、发布、回滚和白名单审批。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PRD-FR-06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合规审计与运营报表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/compliance、/dashboard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ComplianceReport、AuditTrail、DashboardStats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生成报告并核对审计留痕。</w:t>
            </w:r>
          </w:p>
        </w:tc>
      </w:tr>
    </w:tbl>
    <w:p/>
    <w:p>
      <w:pPr>
        <w:pStyle w:val="Heading2"/>
        <w:keepNext/>
      </w:pPr>
      <w:r>
        <w:t>13.4 角色权限操作矩阵</w:t>
      </w:r>
    </w:p>
    <w:tbl>
      <w:tblPr>
        <w:tblStyle w:val="TableGrid"/>
        <w:tblW w:w="0" w:type="auto"/>
        <w:tblLook w:firstRow="1" w:noHBand="0" w:noVBand="1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操作对象</w:t>
            </w:r>
          </w:p>
        </w:tc>
        <w:tc>
          <w:tcPr>
            <w:tcW w:w="18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安全值班员</w:t>
            </w:r>
          </w:p>
        </w:tc>
        <w:tc>
          <w:tcPr>
            <w:tcW w:w="18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安全研判员</w:t>
            </w:r>
          </w:p>
        </w:tc>
        <w:tc>
          <w:tcPr>
            <w:tcW w:w="18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平台管理员</w:t>
            </w:r>
          </w:p>
        </w:tc>
        <w:tc>
          <w:tcPr>
            <w:tcW w:w="18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审计要求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告警查看/筛选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允许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允许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允许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普通查询不强制审计。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告警指派/状态流转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部分允许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允许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允许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记录操作者、状态版本和理由。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PCAP 下载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禁止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按权限允许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允许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记录任务 ID、对象 Key、有效期和下载人。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规则发布/回滚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禁止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禁止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允许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记录规则版本、影响范围和结果。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白名单启用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禁止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提交草稿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审核启用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记录来源告警、原因码和审批人。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合规报告导出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只读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只读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允许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记录导出条件、文件名和请求 ID。</w:t>
            </w:r>
          </w:p>
        </w:tc>
      </w:tr>
    </w:tbl>
    <w:p/>
    <w:p>
      <w:pPr>
        <w:pStyle w:val="Heading2"/>
        <w:keepNext/>
      </w:pPr>
      <w:r>
        <w:t>13.5 页面状态设计检查表</w:t>
      </w:r>
    </w:p>
    <w:tbl>
      <w:tblPr>
        <w:tblStyle w:val="TableGrid"/>
        <w:tblW w:w="0" w:type="auto"/>
        <w:tblLook w:firstRow="1" w:noHBand="0" w:noVBand="1"/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页面状态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适用页面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设计要求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验收标准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加载中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所有异步页面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展示加载状态和必要的骨架屏。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用户能识别页面正在请求数据。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空状态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列表、图谱、报表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说明无数据原因并提供恢复动作。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可清空筛选或切换时间窗。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接口失败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所有 API 页面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展示错误摘要、请求 ID 和重试入口。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错误不暴露内部栈和凭证。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权限不足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高风险动作和敏感页面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按钮置灰或页面提示所需权限。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越权动作被阻止并记录。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任务处理中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PCAP、报表、图谱路径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展示进度、排队状态和取消/刷新入口。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长任务不会阻塞主页面。</w:t>
            </w:r>
          </w:p>
        </w:tc>
      </w:tr>
    </w:tbl>
    <w:p/>
    <w:p>
      <w:pPr>
        <w:pStyle w:val="Heading2"/>
        <w:keepNext/>
      </w:pPr>
      <w:r>
        <w:t>13.6 产品交付审查结论</w:t>
      </w:r>
    </w:p>
    <w:p>
      <w:pPr>
        <w:spacing w:after="120" w:line="360" w:lineRule="auto"/>
        <w:ind w:firstLine="420"/>
      </w:pPr>
      <w:r>
        <w:rPr>
          <w:rFonts w:eastAsia="宋体" w:ascii="Calibri" w:hAnsi="Calibri"/>
          <w:sz w:val="21"/>
        </w:rPr>
        <w:t xml:space="preserve">经本轮增强，产品设计文档已具备规范 PRD 的基本结构和评审支撑材料。后续若页面、接口或验收脚本发生变化，应优先维护标题大纲、追溯矩阵和页面规格矩阵，确保产品设计、技术设计、PPT 和演示路径保持一致。</w:t>
      </w:r>
    </w:p>
    <w:p>
      <w:r>
        <w:br w:type="page"/>
      </w:r>
    </w:p>
    <w:p>
      <w:r>
        <w:br w:type="page"/>
      </w:r>
    </w:p>
    <w:p>
      <w:pPr>
        <w:pStyle w:val="Heading3"/>
      </w:pPr>
      <w:r>
        <w:t>深化融合：图形资产与事实来源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20"/>
        <w:gridCol w:w="3120"/>
        <w:gridCol w:w="3120"/>
      </w:tblGrid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类型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位置/链接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用途</w:t>
            </w:r>
          </w:p>
        </w:tc>
      </w:tr>
      <w:tr>
        <w:tc>
          <w:tcPr>
            <w:tcW w:type="dxa" w:w="312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FigJam 可编辑图</w:t>
            </w:r>
          </w:p>
        </w:tc>
        <w:tc>
          <w:tcPr>
            <w:tcW w:type="dxa" w:w="312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https://www.figma.com/board/HRWwzoZ7oYV43JXV1LQ29Y</w:t>
            </w:r>
          </w:p>
        </w:tc>
        <w:tc>
          <w:tcPr>
            <w:tcW w:type="dxa" w:w="312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系统总架构、业务闭环、告警取证反馈时序</w:t>
            </w:r>
          </w:p>
        </w:tc>
      </w:tr>
      <w:tr>
        <w:tc>
          <w:tcPr>
            <w:tcW w:type="dxa" w:w="312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Mermaid 源</w:t>
            </w:r>
          </w:p>
        </w:tc>
        <w:tc>
          <w:tcPr>
            <w:tcW w:type="dxa" w:w="312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doc/diagrams/figma_system_architecture_2026-06-19.mmd</w:t>
            </w:r>
          </w:p>
        </w:tc>
        <w:tc>
          <w:tcPr>
            <w:tcW w:type="dxa" w:w="312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架构图可版本化来源</w:t>
            </w:r>
          </w:p>
        </w:tc>
      </w:tr>
      <w:tr>
        <w:tc>
          <w:tcPr>
            <w:tcW w:type="dxa" w:w="312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Mermaid 源</w:t>
            </w:r>
          </w:p>
        </w:tc>
        <w:tc>
          <w:tcPr>
            <w:tcW w:type="dxa" w:w="312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doc/diagrams/figma_business_closed_loop_2026-06-19.mmd</w:t>
            </w:r>
          </w:p>
        </w:tc>
        <w:tc>
          <w:tcPr>
            <w:tcW w:type="dxa" w:w="312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业务闭环图可版本化来源</w:t>
            </w:r>
          </w:p>
        </w:tc>
      </w:tr>
      <w:tr>
        <w:tc>
          <w:tcPr>
            <w:tcW w:type="dxa" w:w="312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Mermaid 源</w:t>
            </w:r>
          </w:p>
        </w:tc>
        <w:tc>
          <w:tcPr>
            <w:tcW w:type="dxa" w:w="312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doc/diagrams/figma_alert_forensics_feedback_sequence_2026-06-19.mmd</w:t>
            </w:r>
          </w:p>
        </w:tc>
        <w:tc>
          <w:tcPr>
            <w:tcW w:type="dxa" w:w="312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时序图可版本化来源</w:t>
            </w:r>
          </w:p>
        </w:tc>
      </w:tr>
      <w:tr>
        <w:tc>
          <w:tcPr>
            <w:tcW w:type="dxa" w:w="312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产品蓝图 PNG</w:t>
            </w:r>
          </w:p>
        </w:tc>
        <w:tc>
          <w:tcPr>
            <w:tcW w:type="dxa" w:w="312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doc/assets/generated/product_blueprint_v4.png</w:t>
            </w:r>
          </w:p>
        </w:tc>
        <w:tc>
          <w:tcPr>
            <w:tcW w:type="dxa" w:w="312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产品价值与能力地图</w:t>
            </w:r>
          </w:p>
        </w:tc>
      </w:tr>
      <w:tr>
        <w:tc>
          <w:tcPr>
            <w:tcW w:type="dxa" w:w="312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架构 PNG</w:t>
            </w:r>
          </w:p>
        </w:tc>
        <w:tc>
          <w:tcPr>
            <w:tcW w:type="dxa" w:w="312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doc/assets/generated/tech_architecture.png</w:t>
            </w:r>
          </w:p>
        </w:tc>
        <w:tc>
          <w:tcPr>
            <w:tcW w:type="dxa" w:w="312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静态架构说明</w:t>
            </w:r>
          </w:p>
        </w:tc>
      </w:tr>
      <w:tr>
        <w:tc>
          <w:tcPr>
            <w:tcW w:type="dxa" w:w="312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业务闭环 PNG</w:t>
            </w:r>
          </w:p>
        </w:tc>
        <w:tc>
          <w:tcPr>
            <w:tcW w:type="dxa" w:w="312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doc/assets/generated/closed_loop_flow.png</w:t>
            </w:r>
          </w:p>
        </w:tc>
        <w:tc>
          <w:tcPr>
            <w:tcW w:type="dxa" w:w="312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端到端闭环说明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来源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用途</w:t>
            </w:r>
          </w:p>
        </w:tc>
      </w:tr>
      <w:tr>
        <w:tc>
          <w:tcPr>
            <w:tcW w:type="dxa" w:w="468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doc/任务书.docx</w:t>
            </w:r>
          </w:p>
        </w:tc>
        <w:tc>
          <w:tcPr>
            <w:tcW w:type="dxa" w:w="468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课题一目标、指标、项目周期、第三方测试口径</w:t>
            </w:r>
          </w:p>
        </w:tc>
      </w:tr>
      <w:tr>
        <w:tc>
          <w:tcPr>
            <w:tcW w:type="dxa" w:w="468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agent.md</w:t>
            </w:r>
          </w:p>
        </w:tc>
        <w:tc>
          <w:tcPr>
            <w:tcW w:type="dxa" w:w="468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系统主链路、技术栈、当前状态和工程约束</w:t>
            </w:r>
          </w:p>
        </w:tc>
      </w:tr>
      <w:tr>
        <w:tc>
          <w:tcPr>
            <w:tcW w:type="dxa" w:w="468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doc/课题一工程系统总体方案-补强版.md</w:t>
            </w:r>
          </w:p>
        </w:tc>
        <w:tc>
          <w:tcPr>
            <w:tcW w:type="dxa" w:w="468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课题边界、验收矩阵、补强建议</w:t>
            </w:r>
          </w:p>
        </w:tc>
      </w:tr>
      <w:tr>
        <w:tc>
          <w:tcPr>
            <w:tcW w:type="dxa" w:w="468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doc/acceptance/README.md</w:t>
            </w:r>
          </w:p>
        </w:tc>
        <w:tc>
          <w:tcPr>
            <w:tcW w:type="dxa" w:w="468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证据包分层、P0 门禁和试点交付节奏</w:t>
            </w:r>
          </w:p>
        </w:tc>
      </w:tr>
      <w:tr>
        <w:tc>
          <w:tcPr>
            <w:tcW w:type="dxa" w:w="468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doc/review/专家深评整改清单.md</w:t>
            </w:r>
          </w:p>
        </w:tc>
        <w:tc>
          <w:tcPr>
            <w:tcW w:type="dxa" w:w="468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评审差距和整改方向</w:t>
            </w:r>
          </w:p>
        </w:tc>
      </w:tr>
      <w:tr>
        <w:tc>
          <w:tcPr>
            <w:tcW w:type="dxa" w:w="468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mlops/docs/BUSINESS_LOGIC.md</w:t>
            </w:r>
          </w:p>
        </w:tc>
        <w:tc>
          <w:tcPr>
            <w:tcW w:type="dxa" w:w="468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运行链路、Flink 作业、MLOps 与性能状态</w:t>
            </w:r>
          </w:p>
        </w:tc>
      </w:tr>
      <w:tr>
        <w:tc>
          <w:tcPr>
            <w:tcW w:type="dxa" w:w="468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go/control-plane、rust/probe-agent、java/flink-jobs、web/ui、common、deployments</w:t>
            </w:r>
          </w:p>
        </w:tc>
        <w:tc>
          <w:tcPr>
            <w:tcW w:type="dxa" w:w="468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代码、接口、topic、表、部署和测试事实</w:t>
            </w:r>
          </w:p>
        </w:tc>
      </w:tr>
      <w:tr>
        <w:tc>
          <w:tcPr>
            <w:tcW w:type="dxa" w:w="468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NIST CSF 2.0、MITRE ATT&amp;CK、Zeek、Suricata、Arkime 官方资料</w:t>
            </w:r>
          </w:p>
        </w:tc>
        <w:tc>
          <w:tcPr>
            <w:tcW w:type="dxa" w:w="468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业务闭环、检测数据源和竞品参照</w:t>
            </w:r>
          </w:p>
        </w:tc>
      </w:tr>
    </w:tbl>
    <w:sectPr>
      <w:pgSz w:w="11906" w:h="16838"/>
      <w:pgMar w:top="1360" w:right="1360" w:bottom="1247" w:left="1474" w:header="708" w:footer="708" w:gutter="0"/>
      <w:cols w:space="708"/>
      <w:docGrid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eastAsia="宋体" w:ascii="Calibri" w:hAnsi="Calibri"/>
        <w:sz w:val="21"/>
      </w:rPr>
    </w:rPrDefault>
  </w:docDefaults>
  <w:style w:type="paragraph" w:default="1" w:styleId="Normal">
    <w:name w:val="Normal"/>
    <w:qFormat/>
    <w:rPr>
      <w:rFonts w:eastAsia="宋体" w:ascii="Calibri" w:hAnsi="Calibri"/>
      <w:sz w:val="21"/>
    </w:rPr>
  </w:style>
  <w:style w:type="paragraph" w:styleId="Heading1">
    <w:name w:val="heading 1"/>
    <w:basedOn w:val="Normal"/>
    <w:next w:val="Normal"/>
    <w:qFormat/>
    <w:pPr>
      <w:keepNext/>
      <w:spacing w:before="360" w:after="180"/>
      <w:outlineLvl w:val="0"/>
    </w:pPr>
    <w:rPr>
      <w:rFonts w:eastAsia="黑体" w:ascii="Calibri" w:hAnsi="Calibri"/>
      <w:b/>
      <w:sz w:val="32"/>
      <w:color w:val="1F4E79"/>
    </w:rPr>
  </w:style>
  <w:style w:type="paragraph" w:styleId="Heading2">
    <w:name w:val="heading 2"/>
    <w:basedOn w:val="Normal"/>
    <w:next w:val="Normal"/>
    <w:qFormat/>
    <w:pPr>
      <w:keepNext/>
      <w:spacing w:before="260" w:after="120"/>
      <w:outlineLvl w:val="1"/>
    </w:pPr>
    <w:rPr>
      <w:rFonts w:eastAsia="黑体" w:ascii="Calibri" w:hAnsi="Calibri"/>
      <w:b/>
      <w:sz w:val="26"/>
      <w:color w:val="2F5597"/>
    </w:rPr>
  </w:style>
  <w:style w:type="paragraph" w:styleId="Heading3">
    <w:name w:val="heading 3"/>
    <w:basedOn w:val="Normal"/>
    <w:next w:val="Normal"/>
    <w:qFormat/>
    <w:pPr>
      <w:keepNext/>
      <w:spacing w:before="180" w:after="80"/>
      <w:outlineLvl w:val="2"/>
    </w:pPr>
    <w:rPr>
      <w:rFonts w:eastAsia="黑体" w:ascii="Calibri" w:hAnsi="Calibri"/>
      <w:b/>
      <w:sz w:val="23"/>
      <w:color w:val="1F4E79"/>
    </w:rPr>
  </w:style>
  <w:style w:type="paragraph" w:styleId="Caption">
    <w:name w:val="caption"/>
    <w:basedOn w:val="Normal"/>
    <w:qFormat/>
    <w:pPr>
      <w:spacing w:after="120"/>
    </w:pPr>
    <w:rPr>
      <w:rFonts w:eastAsia="宋体" w:ascii="Calibri" w:hAnsi="Calibri"/>
      <w:sz w:val="18"/>
      <w:color w:val="5B667A"/>
    </w:rPr>
  </w:style>
  <w:style w:type="table" w:styleId="TableGrid">
    <w:name w:val="Table Grid"/>
    <w:tblPr>
      <w:tblBorders>
        <w:top w:val="single" w:sz="4" w:space="0" w:color="D7DEE8"/>
        <w:left w:val="single" w:sz="4" w:space="0" w:color="D7DEE8"/>
        <w:bottom w:val="single" w:sz="4" w:space="0" w:color="D7DEE8"/>
        <w:right w:val="single" w:sz="4" w:space="0" w:color="D7DEE8"/>
        <w:insideH w:val="single" w:sz="4" w:space="0" w:color="D7DEE8"/>
        <w:insideV w:val="single" w:sz="4" w:space="0" w:color="D7DEE8"/>
      </w:tblBorders>
    </w:tbl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Node.js OOXML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面向园区网络的全流量采集分析系统</dc:title>
  <dc:creator>Codex Node.js Rebuilder</dc:creator>
  <cp:lastModifiedBy>Codex Node.js Rebuilder</cp:lastModifiedBy>
  <dcterms:created xsi:type="dcterms:W3CDTF">2026-06-16T15:48:35.825Z</dcterms:created>
  <dcterms:modified xsi:type="dcterms:W3CDTF">2026-06-16T15:48:35.825Z</dcterms:modified>
</cp:coreProperties>
</file>