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b/>
          <w:color w:val="2F6FED"/>
          <w:sz w:val="16"/>
          <w:spacing w:val="24"/>
        </w:rPr>
        <w:t>FINA4340A  ·  STRUCTURED PRODUCTS: FUNDAMENTALS AND ANALYSIS</w:t>
      </w:r>
    </w:p>
    <w:p>
      <w:pPr>
        <w:spacing w:before="960" w:after="80"/>
      </w:pPr>
      <w:r>
        <w:rPr>
          <w:b/>
          <w:color w:val="5C677D"/>
          <w:sz w:val="17"/>
          <w:spacing w:val="30"/>
        </w:rPr>
        <w:t>HOMEWORK  ·  YIELD CURVE PCA</w:t>
      </w:r>
    </w:p>
    <w:p>
      <w:pPr>
        <w:spacing w:after="40"/>
      </w:pPr>
      <w:r>
        <w:rPr>
          <w:rFonts w:ascii="Georgia" w:hAnsi="Georgia"/>
          <w:b w:val="0"/>
          <w:color w:val="14213D"/>
          <w:sz w:val="108"/>
        </w:rPr>
        <w:t>The Curve</w:t>
      </w:r>
    </w:p>
    <w:p>
      <w:pPr>
        <w:spacing w:after="240"/>
      </w:pPr>
      <w:r>
        <w:rPr>
          <w:rFonts w:ascii="Georgia" w:hAnsi="Georgia"/>
          <w:i/>
          <w:color w:val="2F6FED"/>
          <w:sz w:val="108"/>
        </w:rPr>
        <w:t>in Three Moves</w:t>
      </w:r>
    </w:p>
    <w:p>
      <w:pPr>
        <w:spacing w:before="0" w:after="280"/>
        <w:pBdr>
          <w:bottom w:val="single" w:sz="10" w:space="1" w:color="14213D"/>
        </w:pBdr>
      </w:pPr>
    </w:p>
    <w:p>
      <w:pPr>
        <w:spacing w:after="320"/>
      </w:pPr>
      <w:r>
        <w:rPr>
          <w:color w:val="5C677D"/>
          <w:sz w:val="26"/>
        </w:rPr>
        <w:t>Principal-component analysis of the US Treasury curve — and the week in March 2023 when the banking system, and the Fed path, repriced.</w:t>
      </w:r>
    </w:p>
    <w:tbl>
      <w:tblPr>
        <w:tblW w:type="auto" w:w="0"/>
        <w:jc w:val="left"/>
        <w:tblLayout w:type="fixed"/>
        <w:tblLook w:firstColumn="1" w:firstRow="1" w:lastColumn="0" w:lastRow="0" w:noHBand="0" w:noVBand="1" w:val="04A0"/>
        <w:tblLayout w:type="fixed"/>
        <w:tblBorders>
          <w:top w:val="nil"/>
          <w:left w:val="nil"/>
          <w:bottom w:val="nil"/>
          <w:right w:val="nil"/>
          <w:insideH w:val="nil"/>
          <w:insideV w:val="nil"/>
        </w:tblBorders>
      </w:tblPr>
      <w:tblGrid>
        <w:gridCol w:w="2948"/>
        <w:gridCol w:w="6123"/>
      </w:tblGrid>
      <w:tr>
        <w:tc>
          <w:tcPr>
            <w:tcW w:type="dxa" w:w="2948"/>
          </w:tcPr>
          <w:p>
            <w:pPr>
              <w:spacing w:after="40"/>
            </w:pPr>
            <w:r/>
            <w:r>
              <w:rPr>
                <w:b/>
                <w:color w:val="7A8291"/>
                <w:sz w:val="14"/>
              </w:rPr>
              <w:t>PREPARED BY</w:t>
            </w:r>
          </w:p>
        </w:tc>
        <w:tc>
          <w:tcPr>
            <w:tcW w:type="dxa" w:w="6123"/>
          </w:tcPr>
          <w:p>
            <w:pPr>
              <w:spacing w:after="40"/>
            </w:pPr>
            <w:r/>
            <w:r>
              <w:rPr>
                <w:color w:val="14213D"/>
                <w:sz w:val="18"/>
              </w:rPr>
              <w:t>Marcus Chan</w:t>
            </w:r>
          </w:p>
        </w:tc>
      </w:tr>
      <w:tr>
        <w:tc>
          <w:tcPr>
            <w:tcW w:type="dxa" w:w="2948"/>
          </w:tcPr>
          <w:p>
            <w:pPr>
              <w:spacing w:after="40"/>
            </w:pPr>
            <w:r/>
            <w:r>
              <w:rPr>
                <w:b/>
                <w:color w:val="7A8291"/>
                <w:sz w:val="14"/>
              </w:rPr>
              <w:t>DATA</w:t>
            </w:r>
          </w:p>
        </w:tc>
        <w:tc>
          <w:tcPr>
            <w:tcW w:type="dxa" w:w="6123"/>
          </w:tcPr>
          <w:p>
            <w:pPr>
              <w:spacing w:after="40"/>
            </w:pPr>
            <w:r/>
            <w:r>
              <w:rPr>
                <w:color w:val="14213D"/>
                <w:sz w:val="18"/>
              </w:rPr>
              <w:t>US Treasury · CBOE · S&amp;P Dow Jones Indices</w:t>
            </w:r>
          </w:p>
        </w:tc>
      </w:tr>
      <w:tr>
        <w:tc>
          <w:tcPr>
            <w:tcW w:type="dxa" w:w="2948"/>
          </w:tcPr>
          <w:p>
            <w:pPr>
              <w:spacing w:after="40"/>
            </w:pPr>
            <w:r/>
            <w:r>
              <w:rPr>
                <w:b/>
                <w:color w:val="7A8291"/>
                <w:sz w:val="14"/>
              </w:rPr>
              <w:t>SAMPLE / EVENT</w:t>
            </w:r>
          </w:p>
        </w:tc>
        <w:tc>
          <w:tcPr>
            <w:tcW w:type="dxa" w:w="6123"/>
          </w:tcPr>
          <w:p>
            <w:pPr>
              <w:spacing w:after="40"/>
            </w:pPr>
            <w:r/>
            <w:r>
              <w:rPr>
                <w:color w:val="14213D"/>
                <w:sz w:val="18"/>
              </w:rPr>
              <w:t>4 Oct 1993 – 8 Mar 2023  /  9–17 Mar 2023</w:t>
            </w:r>
          </w:p>
        </w:tc>
      </w:tr>
    </w:tbl>
    <w:p>
      <w:pPr>
        <w:spacing w:after="240"/>
      </w:pPr>
    </w:p>
    <w:p>
      <w:pPr>
        <w:jc w:val="right"/>
      </w:pPr>
      <w:r>
        <w:rPr>
          <w:color w:val="7A8291"/>
          <w:sz w:val="17"/>
        </w:rPr>
        <w:t>October 2026</w:t>
      </w:r>
    </w:p>
    <w:p>
      <w:pPr>
        <w:keepNext/>
        <w:spacing w:before="120" w:after="40"/>
        <w:jc w:val="center"/>
      </w:pPr>
      <w:r>
        <w:drawing>
          <wp:inline xmlns:a="http://schemas.openxmlformats.org/drawingml/2006/main" xmlns:pic="http://schemas.openxmlformats.org/drawingml/2006/picture">
            <wp:extent cx="5943600" cy="3371062"/>
            <wp:docPr id="1" name="Picture 1"/>
            <wp:cNvGraphicFramePr>
              <a:graphicFrameLocks noChangeAspect="1"/>
            </wp:cNvGraphicFramePr>
            <a:graphic>
              <a:graphicData uri="http://schemas.openxmlformats.org/drawingml/2006/picture">
                <pic:pic>
                  <pic:nvPicPr>
                    <pic:cNvPr id="0" name="fig_event_curve.png"/>
                    <pic:cNvPicPr/>
                  </pic:nvPicPr>
                  <pic:blipFill>
                    <a:blip r:embed="rId11"/>
                    <a:stretch>
                      <a:fillRect/>
                    </a:stretch>
                  </pic:blipFill>
                  <pic:spPr>
                    <a:xfrm>
                      <a:off x="0" y="0"/>
                      <a:ext cx="5943600" cy="3371062"/>
                    </a:xfrm>
                    <a:prstGeom prst="rect"/>
                  </pic:spPr>
                </pic:pic>
              </a:graphicData>
            </a:graphic>
          </wp:inline>
        </w:drawing>
      </w:r>
    </w:p>
    <w:p>
      <w:pPr>
        <w:spacing w:before="40" w:after="20"/>
      </w:pPr>
      <w:r>
        <w:rPr>
          <w:i/>
          <w:color w:val="7A8291"/>
          <w:sz w:val="16"/>
        </w:rPr>
        <w:t>The 9 March and 17 March 2023 Treasury curves. The front end fell much more than the long end: a bull steepener.</w:t>
      </w:r>
    </w:p>
    <w:p>
      <w:pPr>
        <w:spacing w:before="0" w:after="180"/>
      </w:pPr>
      <w:r>
        <w:rPr>
          <w:color w:val="7A8291"/>
          <w:sz w:val="15"/>
        </w:rPr>
        <w:t>Source: US Department of the Treasury, daily par yield curve rates.</w:t>
      </w:r>
    </w:p>
    <w:p>
      <w:r>
        <w:br w:type="page"/>
      </w:r>
    </w:p>
    <w:p>
      <w:pPr>
        <w:spacing w:after="40"/>
      </w:pPr>
      <w:r>
        <w:rPr>
          <w:b/>
          <w:color w:val="2F6FED"/>
          <w:sz w:val="17"/>
          <w:spacing w:val="30"/>
        </w:rPr>
        <w:t>CONTENTS</w:t>
      </w:r>
    </w:p>
    <w:p>
      <w:pPr>
        <w:spacing w:after="120"/>
      </w:pPr>
      <w:r>
        <w:rPr>
          <w:rFonts w:ascii="Georgia" w:hAnsi="Georgia"/>
          <w:color w:val="14213D"/>
          <w:sz w:val="48"/>
        </w:rPr>
        <w:t>A short tour of the argument</w:t>
      </w:r>
    </w:p>
    <w:p>
      <w:pPr>
        <w:tabs>
          <w:tab w:pos="4309" w:val="left"/>
        </w:tabs>
        <w:spacing w:after="140"/>
      </w:pPr>
      <w:r>
        <w:rPr>
          <w:b/>
          <w:color w:val="2F6FED"/>
          <w:sz w:val="16"/>
        </w:rPr>
        <w:t xml:space="preserve">01   </w:t>
      </w:r>
      <w:r>
        <w:rPr>
          <w:b/>
          <w:color w:val="14213D"/>
          <w:sz w:val="22"/>
        </w:rPr>
        <w:t>Executive summary</w:t>
      </w:r>
      <w:r>
        <w:rPr>
          <w:color w:val="7A8291"/>
          <w:sz w:val="18"/>
        </w:rPr>
        <w:tab/>
        <w:t>The answer in one page</w:t>
      </w:r>
    </w:p>
    <w:p>
      <w:pPr>
        <w:tabs>
          <w:tab w:pos="4309" w:val="left"/>
        </w:tabs>
        <w:spacing w:after="140"/>
      </w:pPr>
      <w:r>
        <w:rPr>
          <w:b/>
          <w:color w:val="2F6FED"/>
          <w:sz w:val="16"/>
        </w:rPr>
        <w:t xml:space="preserve">02   </w:t>
      </w:r>
      <w:r>
        <w:rPr>
          <w:b/>
          <w:color w:val="14213D"/>
          <w:sz w:val="22"/>
        </w:rPr>
        <w:t>1. Data and method</w:t>
      </w:r>
      <w:r>
        <w:rPr>
          <w:color w:val="7A8291"/>
          <w:sz w:val="18"/>
        </w:rPr>
        <w:tab/>
        <w:t>Tenors, sample, first differences, covariance PCA</w:t>
      </w:r>
    </w:p>
    <w:p>
      <w:pPr>
        <w:tabs>
          <w:tab w:pos="4309" w:val="left"/>
        </w:tabs>
        <w:spacing w:after="140"/>
      </w:pPr>
      <w:r>
        <w:rPr>
          <w:b/>
          <w:color w:val="2F6FED"/>
          <w:sz w:val="16"/>
        </w:rPr>
        <w:t xml:space="preserve">03   </w:t>
      </w:r>
      <w:r>
        <w:rPr>
          <w:b/>
          <w:color w:val="14213D"/>
          <w:sz w:val="22"/>
        </w:rPr>
        <w:t>2. The three factors</w:t>
      </w:r>
      <w:r>
        <w:rPr>
          <w:color w:val="7A8291"/>
          <w:sz w:val="18"/>
        </w:rPr>
        <w:tab/>
        <w:t>What level, slope and curvature look like</w:t>
      </w:r>
    </w:p>
    <w:p>
      <w:pPr>
        <w:tabs>
          <w:tab w:pos="4309" w:val="left"/>
        </w:tabs>
        <w:spacing w:after="140"/>
      </w:pPr>
      <w:r>
        <w:rPr>
          <w:b/>
          <w:color w:val="2F6FED"/>
          <w:sz w:val="16"/>
        </w:rPr>
        <w:t xml:space="preserve">04   </w:t>
      </w:r>
      <w:r>
        <w:rPr>
          <w:b/>
          <w:color w:val="14213D"/>
          <w:sz w:val="22"/>
        </w:rPr>
        <w:t>3. The March 2023 move</w:t>
      </w:r>
      <w:r>
        <w:rPr>
          <w:color w:val="7A8291"/>
          <w:sz w:val="18"/>
        </w:rPr>
        <w:tab/>
        <w:t>Yields, factor scores and the 3-factor fit</w:t>
      </w:r>
    </w:p>
    <w:p>
      <w:pPr>
        <w:tabs>
          <w:tab w:pos="4309" w:val="left"/>
        </w:tabs>
        <w:spacing w:after="140"/>
      </w:pPr>
      <w:r>
        <w:rPr>
          <w:b/>
          <w:color w:val="2F6FED"/>
          <w:sz w:val="16"/>
        </w:rPr>
        <w:t xml:space="preserve">05   </w:t>
      </w:r>
      <w:r>
        <w:rPr>
          <w:b/>
          <w:color w:val="14213D"/>
          <w:sz w:val="22"/>
        </w:rPr>
        <w:t>4. What was driving it?</w:t>
      </w:r>
      <w:r>
        <w:rPr>
          <w:color w:val="7A8291"/>
          <w:sz w:val="18"/>
        </w:rPr>
        <w:tab/>
        <w:t>Flight to quality, the Fed path and global bank stress</w:t>
      </w:r>
    </w:p>
    <w:p>
      <w:pPr>
        <w:tabs>
          <w:tab w:pos="4309" w:val="left"/>
        </w:tabs>
        <w:spacing w:after="140"/>
      </w:pPr>
      <w:r>
        <w:rPr>
          <w:b/>
          <w:color w:val="2F6FED"/>
          <w:sz w:val="16"/>
        </w:rPr>
        <w:t xml:space="preserve">06   </w:t>
      </w:r>
      <w:r>
        <w:rPr>
          <w:b/>
          <w:color w:val="14213D"/>
          <w:sz w:val="22"/>
        </w:rPr>
        <w:t>5. The interactive toy</w:t>
      </w:r>
      <w:r>
        <w:rPr>
          <w:color w:val="7A8291"/>
          <w:sz w:val="18"/>
        </w:rPr>
        <w:tab/>
        <w:t>The 3-factor playground and how to use it</w:t>
      </w:r>
    </w:p>
    <w:p>
      <w:pPr>
        <w:tabs>
          <w:tab w:pos="4309" w:val="left"/>
        </w:tabs>
        <w:spacing w:after="140"/>
      </w:pPr>
      <w:r>
        <w:rPr>
          <w:b/>
          <w:color w:val="2F6FED"/>
          <w:sz w:val="16"/>
        </w:rPr>
        <w:t xml:space="preserve">07   </w:t>
      </w:r>
      <w:r>
        <w:rPr>
          <w:b/>
          <w:color w:val="14213D"/>
          <w:sz w:val="22"/>
        </w:rPr>
        <w:t>6. Caveats and conclusion</w:t>
      </w:r>
      <w:r>
        <w:rPr>
          <w:color w:val="7A8291"/>
          <w:sz w:val="18"/>
        </w:rPr>
        <w:tab/>
        <w:t>What PCA can and cannot tell us</w:t>
      </w:r>
    </w:p>
    <w:p>
      <w:pPr>
        <w:tabs>
          <w:tab w:pos="4309" w:val="left"/>
        </w:tabs>
        <w:spacing w:after="140"/>
      </w:pPr>
      <w:r>
        <w:rPr>
          <w:b/>
          <w:color w:val="2F6FED"/>
          <w:sz w:val="16"/>
        </w:rPr>
        <w:t xml:space="preserve">08   </w:t>
      </w:r>
      <w:r>
        <w:rPr>
          <w:b/>
          <w:color w:val="14213D"/>
          <w:sz w:val="22"/>
        </w:rPr>
        <w:t>7. Optional: 3-year SPX PPN</w:t>
      </w:r>
      <w:r>
        <w:rPr>
          <w:color w:val="7A8291"/>
          <w:sz w:val="18"/>
        </w:rPr>
        <w:tab/>
        <w:t>Call-spread structure, pricing and term sheet</w:t>
      </w:r>
    </w:p>
    <w:p>
      <w:pPr>
        <w:tabs>
          <w:tab w:pos="4309" w:val="left"/>
        </w:tabs>
        <w:spacing w:after="140"/>
      </w:pPr>
      <w:r>
        <w:rPr>
          <w:b/>
          <w:color w:val="2F6FED"/>
          <w:sz w:val="16"/>
        </w:rPr>
        <w:t xml:space="preserve">09   </w:t>
      </w:r>
      <w:r>
        <w:rPr>
          <w:b/>
          <w:color w:val="14213D"/>
          <w:sz w:val="22"/>
        </w:rPr>
        <w:t>Appendix</w:t>
      </w:r>
      <w:r>
        <w:rPr>
          <w:color w:val="7A8291"/>
          <w:sz w:val="18"/>
        </w:rPr>
        <w:tab/>
        <w:t>Full loadings, data notes and references</w:t>
      </w:r>
    </w:p>
    <w:p>
      <w:pPr>
        <w:spacing w:before="120" w:after="160"/>
        <w:pBdr>
          <w:bottom w:val="single" w:sz="6" w:space="1" w:color="C9C1B2"/>
        </w:pBdr>
      </w:pP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298"/>
      </w:tblGrid>
      <w:tr>
        <w:tc>
          <w:tcPr>
            <w:tcW w:type="dxa" w:w="9298"/>
            <w:shd w:fill="F1EDE3"/>
            <w:tcMar>
              <w:top w:w="110" w:type="dxa"/>
              <w:bottom w:w="110" w:type="dxa"/>
              <w:left w:w="150" w:type="dxa"/>
              <w:right w:w="150" w:type="dxa"/>
            </w:tcMar>
          </w:tcPr>
          <w:p>
            <w:pPr>
              <w:spacing w:after="40"/>
            </w:pPr>
            <w:r>
              <w:rPr>
                <w:b/>
                <w:color w:val="5C677D"/>
                <w:sz w:val="15"/>
                <w:spacing w:val="24"/>
              </w:rPr>
              <w:t>HOW TO USE THIS REPORT</w:t>
            </w:r>
          </w:p>
          <w:p>
            <w:pPr>
              <w:spacing w:after="0" w:line="264" w:lineRule="auto"/>
            </w:pPr>
            <w:r>
              <w:rPr>
                <w:color w:val="14213D"/>
                <w:sz w:val="18"/>
              </w:rPr>
              <w:t>Read the executive summary for the result. Sections 1–3 contain the method and the quantitative decomposition. Section 4 explains the news flow. Section 5 describes the interactive companion, and Section 7 is the optional PPN extension. The appendix has the full loading table and sources.</w:t>
            </w:r>
          </w:p>
        </w:tc>
      </w:tr>
    </w:tbl>
    <w:p>
      <w:pPr>
        <w:spacing w:after="40"/>
      </w:pPr>
    </w:p>
    <w:p>
      <w:r>
        <w:br w:type="page"/>
      </w:r>
    </w:p>
    <w:p>
      <w:pPr>
        <w:spacing w:before="200" w:after="40"/>
      </w:pPr>
      <w:r>
        <w:rPr>
          <w:rFonts w:ascii="Calibri" w:hAnsi="Calibri"/>
          <w:b/>
          <w:color w:val="2F6FED"/>
          <w:sz w:val="16"/>
          <w:spacing w:val="28"/>
        </w:rPr>
        <w:t>THE SHORT ANSWER</w:t>
      </w:r>
    </w:p>
    <w:p>
      <w:pPr>
        <w:pStyle w:val="Heading1"/>
        <w:keepNext/>
        <w:spacing w:before="0" w:after="160"/>
      </w:pPr>
      <w:r>
        <w:rPr>
          <w:rFonts w:ascii="Georgia" w:hAnsi="Georgia"/>
          <w:color w:val="14213D"/>
          <w:sz w:val="44"/>
        </w:rPr>
        <w:t>Executive summary</w:t>
      </w:r>
    </w:p>
    <w:p>
      <w:pPr>
        <w:spacing w:before="0" w:after="180"/>
        <w:pBdr>
          <w:bottom w:val="single" w:sz="6" w:space="1" w:color="C9C1B2"/>
        </w:pBdr>
      </w:pPr>
    </w:p>
    <w:p>
      <w:pPr>
        <w:spacing w:after="100" w:line="271" w:lineRule="auto"/>
      </w:pPr>
      <w:r>
        <w:rPr>
          <w:i w:val="0"/>
          <w:color w:val="2D3648"/>
          <w:sz w:val="20"/>
        </w:rPr>
        <w:t>The US Treasury curve did not make a parallel shift in March 2023. It made a large bull move, but the front end fell much more than the long end, so the curve steepened sharply. That shape is exactly what a three-factor PCA is designed to separate: a big level shock, a positive slope shock, and a smaller curvature twist.</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2324"/>
        <w:gridCol w:w="2324"/>
        <w:gridCol w:w="2324"/>
        <w:gridCol w:w="2324"/>
      </w:tblGrid>
      <w:tr>
        <w:tc>
          <w:tcPr>
            <w:tcW w:type="dxa" w:w="2324"/>
            <w:shd w:fill="F1EDE3"/>
            <w:tcMar>
              <w:top w:w="90" w:type="dxa"/>
              <w:bottom w:w="20" w:type="dxa"/>
              <w:left w:w="100" w:type="dxa"/>
              <w:right w:w="100" w:type="dxa"/>
            </w:tcMar>
          </w:tcPr>
          <w:p>
            <w:pPr>
              <w:spacing w:after="0"/>
            </w:pPr>
            <w:r>
              <w:rPr>
                <w:b/>
                <w:color w:val="5C677D"/>
                <w:sz w:val="14"/>
              </w:rPr>
              <w:t>2Y YIELD</w:t>
            </w:r>
          </w:p>
        </w:tc>
        <w:tc>
          <w:tcPr>
            <w:tcW w:type="dxa" w:w="2324"/>
            <w:shd w:fill="F1EDE3"/>
            <w:tcMar>
              <w:top w:w="90" w:type="dxa"/>
              <w:bottom w:w="20" w:type="dxa"/>
              <w:left w:w="100" w:type="dxa"/>
              <w:right w:w="100" w:type="dxa"/>
            </w:tcMar>
          </w:tcPr>
          <w:p>
            <w:pPr>
              <w:spacing w:after="0"/>
            </w:pPr>
            <w:r>
              <w:rPr>
                <w:b/>
                <w:color w:val="5C677D"/>
                <w:sz w:val="14"/>
              </w:rPr>
              <w:t>10Y YIELD</w:t>
            </w:r>
          </w:p>
        </w:tc>
        <w:tc>
          <w:tcPr>
            <w:tcW w:type="dxa" w:w="2324"/>
            <w:shd w:fill="F1EDE3"/>
            <w:tcMar>
              <w:top w:w="90" w:type="dxa"/>
              <w:bottom w:w="20" w:type="dxa"/>
              <w:left w:w="100" w:type="dxa"/>
              <w:right w:w="100" w:type="dxa"/>
            </w:tcMar>
          </w:tcPr>
          <w:p>
            <w:pPr>
              <w:spacing w:after="0"/>
            </w:pPr>
            <w:r>
              <w:rPr>
                <w:b/>
                <w:color w:val="5C677D"/>
                <w:sz w:val="14"/>
              </w:rPr>
              <w:t>2S10S</w:t>
            </w:r>
          </w:p>
        </w:tc>
        <w:tc>
          <w:tcPr>
            <w:tcW w:type="dxa" w:w="2324"/>
            <w:shd w:fill="F1EDE3"/>
            <w:tcMar>
              <w:top w:w="90" w:type="dxa"/>
              <w:bottom w:w="20" w:type="dxa"/>
              <w:left w:w="100" w:type="dxa"/>
              <w:right w:w="100" w:type="dxa"/>
            </w:tcMar>
          </w:tcPr>
          <w:p>
            <w:pPr>
              <w:spacing w:after="0"/>
            </w:pPr>
            <w:r>
              <w:rPr>
                <w:b/>
                <w:color w:val="5C677D"/>
                <w:sz w:val="14"/>
              </w:rPr>
              <w:t>VIX</w:t>
            </w:r>
          </w:p>
        </w:tc>
      </w:tr>
      <w:tr>
        <w:tc>
          <w:tcPr>
            <w:tcW w:type="dxa" w:w="2324"/>
            <w:shd w:fill="F1EDE3"/>
            <w:tcMar>
              <w:top w:w="0" w:type="dxa"/>
              <w:bottom w:w="90" w:type="dxa"/>
              <w:left w:w="100" w:type="dxa"/>
              <w:right w:w="100" w:type="dxa"/>
            </w:tcMar>
          </w:tcPr>
          <w:p>
            <w:pPr>
              <w:spacing w:after="0"/>
            </w:pPr>
            <w:r>
              <w:rPr>
                <w:rFonts w:ascii="Georgia" w:hAnsi="Georgia"/>
                <w:color w:val="14213D"/>
                <w:sz w:val="40"/>
              </w:rPr>
              <w:t>−109 bp</w:t>
            </w:r>
          </w:p>
          <w:p>
            <w:pPr>
              <w:spacing w:after="0"/>
            </w:pPr>
            <w:r>
              <w:rPr>
                <w:color w:val="7A8291"/>
                <w:sz w:val="15"/>
              </w:rPr>
              <w:t>4.90% → 3.81%</w:t>
            </w:r>
          </w:p>
        </w:tc>
        <w:tc>
          <w:tcPr>
            <w:tcW w:type="dxa" w:w="2324"/>
            <w:shd w:fill="F1EDE3"/>
            <w:tcMar>
              <w:top w:w="0" w:type="dxa"/>
              <w:bottom w:w="90" w:type="dxa"/>
              <w:left w:w="100" w:type="dxa"/>
              <w:right w:w="100" w:type="dxa"/>
            </w:tcMar>
          </w:tcPr>
          <w:p>
            <w:pPr>
              <w:spacing w:after="0"/>
            </w:pPr>
            <w:r>
              <w:rPr>
                <w:rFonts w:ascii="Georgia" w:hAnsi="Georgia"/>
                <w:color w:val="14213D"/>
                <w:sz w:val="40"/>
              </w:rPr>
              <w:t>−54 bp</w:t>
            </w:r>
          </w:p>
          <w:p>
            <w:pPr>
              <w:spacing w:after="0"/>
            </w:pPr>
            <w:r>
              <w:rPr>
                <w:color w:val="7A8291"/>
                <w:sz w:val="15"/>
              </w:rPr>
              <w:t>3.93% → 3.39%</w:t>
            </w:r>
          </w:p>
        </w:tc>
        <w:tc>
          <w:tcPr>
            <w:tcW w:type="dxa" w:w="2324"/>
            <w:shd w:fill="F1EDE3"/>
            <w:tcMar>
              <w:top w:w="0" w:type="dxa"/>
              <w:bottom w:w="90" w:type="dxa"/>
              <w:left w:w="100" w:type="dxa"/>
              <w:right w:w="100" w:type="dxa"/>
            </w:tcMar>
          </w:tcPr>
          <w:p>
            <w:pPr>
              <w:spacing w:after="0"/>
            </w:pPr>
            <w:r>
              <w:rPr>
                <w:rFonts w:ascii="Georgia" w:hAnsi="Georgia"/>
                <w:color w:val="14213D"/>
                <w:sz w:val="40"/>
              </w:rPr>
              <w:t>+55 bp</w:t>
            </w:r>
          </w:p>
          <w:p>
            <w:pPr>
              <w:spacing w:after="0"/>
            </w:pPr>
            <w:r>
              <w:rPr>
                <w:color w:val="7A8291"/>
                <w:sz w:val="15"/>
              </w:rPr>
              <w:t>−97 → −42 bp</w:t>
            </w:r>
          </w:p>
        </w:tc>
        <w:tc>
          <w:tcPr>
            <w:tcW w:type="dxa" w:w="2324"/>
            <w:shd w:fill="F1EDE3"/>
            <w:tcMar>
              <w:top w:w="0" w:type="dxa"/>
              <w:bottom w:w="90" w:type="dxa"/>
              <w:left w:w="100" w:type="dxa"/>
              <w:right w:w="100" w:type="dxa"/>
            </w:tcMar>
          </w:tcPr>
          <w:p>
            <w:pPr>
              <w:spacing w:after="0"/>
            </w:pPr>
            <w:r>
              <w:rPr>
                <w:rFonts w:ascii="Georgia" w:hAnsi="Georgia"/>
                <w:color w:val="14213D"/>
                <w:sz w:val="40"/>
              </w:rPr>
              <w:t>+12.8%</w:t>
            </w:r>
          </w:p>
          <w:p>
            <w:pPr>
              <w:spacing w:after="0"/>
            </w:pPr>
            <w:r>
              <w:rPr>
                <w:color w:val="7A8291"/>
                <w:sz w:val="15"/>
              </w:rPr>
              <w:t>22.6 → 25.5, peak 26.5</w:t>
            </w:r>
          </w:p>
        </w:tc>
      </w:tr>
    </w:tbl>
    <w:p>
      <w:pPr>
        <w:spacing w:after="40"/>
      </w:pPr>
    </w:p>
    <w:p>
      <w:pPr>
        <w:spacing w:after="100" w:line="271" w:lineRule="auto"/>
      </w:pPr>
      <w:r>
        <w:rPr>
          <w:i w:val="0"/>
          <w:color w:val="2D3648"/>
          <w:sz w:val="20"/>
        </w:rPr>
        <w:t>The three factors explain 96.0% of the variance of daily yield changes in the 1993–2023 sample: PC1 (level) 67.9%, PC2 (slope) 23.4%, and PC3 (curvature) 4.7%. For the 9→17 March move, the factor scores are −208 bp on PC1, +66.5 bp on PC2 and +39.4 bp on PC3. In daily-standard-deviation units, that is approximately −14σ, +7.6σ and +10σ — a very large, cumulative six-session move.</w:t>
      </w:r>
    </w:p>
    <w:p>
      <w:pPr>
        <w:spacing w:after="100" w:line="271" w:lineRule="auto"/>
      </w:pPr>
      <w:r>
        <w:rPr>
          <w:i w:val="0"/>
          <w:color w:val="2D3648"/>
          <w:sz w:val="20"/>
        </w:rPr>
        <w:t>PC1 does most of the work: it contributes about −75 bp at the 10Y and explains 87% of the raw squared yield changes. But PC2 and PC3 are what make the move a steepener rather than a parallel rally. PC2 adds about +28 bp to 2s10s, and PC3 adds about +21 bp. The 10Y fit is almost exact (−54.4 bp versus −54.0 bp actual), while the 2Y is the hardest point: the model predicts −99.5 bp against −109.0 bp actual, a 9.5 bp residual.</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298"/>
      </w:tblGrid>
      <w:tr>
        <w:tc>
          <w:tcPr>
            <w:tcW w:type="dxa" w:w="9298"/>
            <w:shd w:fill="EAF1FF"/>
            <w:tcMar>
              <w:top w:w="110" w:type="dxa"/>
              <w:bottom w:w="110" w:type="dxa"/>
              <w:left w:w="150" w:type="dxa"/>
              <w:right w:w="150" w:type="dxa"/>
            </w:tcMar>
          </w:tcPr>
          <w:p>
            <w:pPr>
              <w:spacing w:after="40"/>
            </w:pPr>
            <w:r>
              <w:rPr>
                <w:b/>
                <w:color w:val="2F6FED"/>
                <w:sz w:val="15"/>
                <w:spacing w:val="24"/>
              </w:rPr>
              <w:t>BOTTOM LINE</w:t>
            </w:r>
          </w:p>
          <w:p>
            <w:pPr>
              <w:spacing w:after="0" w:line="264" w:lineRule="auto"/>
            </w:pPr>
            <w:r>
              <w:rPr>
                <w:color w:val="14213D"/>
                <w:sz w:val="18"/>
              </w:rPr>
              <w:t>The week was a classic flight-to-quality and Fed-repricing event: a large negative level shock plus a positive slope shock, with a smaller twist. Three factors capture the broad shape, but not every front-end idiosyncrasy. The 2Y residual is a useful reminder that PCA is a summary, not a structural model.</w:t>
            </w:r>
          </w:p>
        </w:tc>
      </w:tr>
    </w:tbl>
    <w:p>
      <w:pPr>
        <w:spacing w:after="40"/>
      </w:pPr>
    </w:p>
    <w:p>
      <w:pPr>
        <w:spacing w:after="100" w:line="271" w:lineRule="auto"/>
      </w:pPr>
      <w:r>
        <w:rPr>
          <w:i w:val="0"/>
          <w:color w:val="2D3648"/>
          <w:sz w:val="20"/>
        </w:rPr>
        <w:t>The main drivers were the failure of Silicon Valley Bank and the emergency official response, a sharp repricing of the expected Fed path, and the global bank-stress episode around Credit Suisse. February CPI, released on 14 March, was roughly in line and did not reverse the move. Equities were volatile but ended the week almost flat; this was primarily a rates and bank-risk event, not a broad equity sell-off.</w:t>
      </w:r>
    </w:p>
    <w:p>
      <w:pPr>
        <w:spacing w:after="100" w:line="271" w:lineRule="auto"/>
      </w:pPr>
      <w:r>
        <w:rPr>
          <w:i w:val="0"/>
          <w:color w:val="2D3648"/>
          <w:sz w:val="20"/>
        </w:rPr>
        <w:t>The companion interactive toy turns the same three factors into a hands-on curve. Three sliders change PC1, PC2 and PC3; a “Solo” button isolates each factor; a preset replays the SVB week; and a day-by-day timeline shows the actual path. It is a static site, so it can be published directly on GitHub Pages.</w:t>
      </w:r>
    </w:p>
    <w:p>
      <w:r>
        <w:br w:type="page"/>
      </w:r>
    </w:p>
    <w:p>
      <w:pPr>
        <w:spacing w:before="200" w:after="40"/>
      </w:pPr>
      <w:r>
        <w:rPr>
          <w:rFonts w:ascii="Calibri" w:hAnsi="Calibri"/>
          <w:b/>
          <w:color w:val="2F6FED"/>
          <w:sz w:val="16"/>
          <w:spacing w:val="28"/>
        </w:rPr>
        <w:t>HOW THE CURVE WAS DECOMPOSED</w:t>
      </w:r>
    </w:p>
    <w:p>
      <w:pPr>
        <w:pStyle w:val="Heading1"/>
        <w:keepNext/>
        <w:spacing w:before="0" w:after="160"/>
      </w:pPr>
      <w:r>
        <w:rPr>
          <w:rFonts w:ascii="Georgia" w:hAnsi="Georgia"/>
          <w:color w:val="2F6FED"/>
          <w:sz w:val="38"/>
        </w:rPr>
        <w:t xml:space="preserve">1  </w:t>
      </w:r>
      <w:r>
        <w:rPr>
          <w:rFonts w:ascii="Georgia" w:hAnsi="Georgia"/>
          <w:color w:val="14213D"/>
          <w:sz w:val="44"/>
        </w:rPr>
        <w:t>Data and method</w:t>
      </w:r>
    </w:p>
    <w:p>
      <w:pPr>
        <w:spacing w:before="0" w:after="180"/>
        <w:pBdr>
          <w:bottom w:val="single" w:sz="6" w:space="1" w:color="C9C1B2"/>
        </w:pBdr>
      </w:pPr>
    </w:p>
    <w:p>
      <w:pPr>
        <w:pStyle w:val="Heading2"/>
        <w:keepNext/>
        <w:spacing w:before="240" w:after="80"/>
      </w:pPr>
      <w:r>
        <w:rPr>
          <w:rFonts w:ascii="Calibri" w:hAnsi="Calibri"/>
          <w:b/>
          <w:color w:val="2F6FED"/>
          <w:sz w:val="25"/>
        </w:rPr>
        <w:t>1.1  Data and sample</w:t>
      </w:r>
    </w:p>
    <w:p>
      <w:pPr>
        <w:spacing w:after="100" w:line="271" w:lineRule="auto"/>
      </w:pPr>
      <w:r>
        <w:rPr>
          <w:i w:val="0"/>
          <w:color w:val="2D3648"/>
          <w:sz w:val="20"/>
        </w:rPr>
        <w:t>I use the US Treasury’s daily par yield curve rates for ten constant maturities: 3M, 6M, 1Y, 2Y, 3Y, 5Y, 7Y, 10Y, 20Y and 30Y. Yields are in percent, so a change from 4.90 to 3.81 is recorded as −109 bp. The full file covers 1990–2023. The PCA is estimated on daily first differences through 8 March 2023, the day before the event window, so the event is not used to fit the factors.</w:t>
      </w:r>
    </w:p>
    <w:p>
      <w:pPr>
        <w:spacing w:after="100" w:line="271" w:lineRule="auto"/>
      </w:pPr>
      <w:r>
        <w:rPr>
          <w:i w:val="0"/>
          <w:color w:val="2D3648"/>
          <w:sz w:val="20"/>
        </w:rPr>
        <w:t>The complete-case sample starts on 4 October 1993, when the 20Y tenor becomes available, and contains 6,364 daily changes. The 30Y was discontinued between 2002 and 2006; those observations are omitted rather than filled. The event window uses 7 closing dates, from 9 March to 17 March 2023 (six overnight changes). The 30Y is included because the long end’s muted response is part of the story.</w:t>
      </w:r>
    </w:p>
    <w:p>
      <w:pPr>
        <w:pStyle w:val="Heading2"/>
        <w:keepNext/>
        <w:spacing w:before="240" w:after="80"/>
      </w:pPr>
      <w:r>
        <w:rPr>
          <w:rFonts w:ascii="Calibri" w:hAnsi="Calibri"/>
          <w:b/>
          <w:color w:val="2F6FED"/>
          <w:sz w:val="25"/>
        </w:rPr>
        <w:t>1.2  Estimation</w:t>
      </w:r>
    </w:p>
    <w:p>
      <w:pPr>
        <w:spacing w:after="100" w:line="271" w:lineRule="auto"/>
      </w:pPr>
      <w:r>
        <w:rPr>
          <w:i w:val="0"/>
          <w:color w:val="2D3648"/>
          <w:sz w:val="20"/>
        </w:rPr>
        <w:t>Let yₜ(τ) be the yield at maturity τ on day t, and Δyₜ = yₜ − yₜ₋₁. I estimate the sample covariance matrix of Δy and take its first three eigenvectors. Because all tenors are in the same units, I do not standardise the changes; standardising would give the short end more weight and change the economic interpretation. The loadings are normalised to unit length, so the factor score is in yield units and the product loading × score is in percentage points.</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298"/>
      </w:tblGrid>
      <w:tr>
        <w:tc>
          <w:tcPr>
            <w:tcW w:type="dxa" w:w="9298"/>
            <w:shd w:fill="F1EDE3"/>
            <w:tcMar>
              <w:top w:w="110" w:type="dxa"/>
              <w:bottom w:w="110" w:type="dxa"/>
              <w:left w:w="150" w:type="dxa"/>
              <w:right w:w="150" w:type="dxa"/>
            </w:tcMar>
          </w:tcPr>
          <w:p>
            <w:pPr>
              <w:spacing w:after="40"/>
            </w:pPr>
            <w:r>
              <w:rPr>
                <w:b/>
                <w:color w:val="5C677D"/>
                <w:sz w:val="15"/>
                <w:spacing w:val="24"/>
              </w:rPr>
              <w:t>THE MODEL</w:t>
            </w:r>
          </w:p>
          <w:p>
            <w:pPr>
              <w:spacing w:after="0" w:line="264" w:lineRule="auto"/>
            </w:pPr>
            <w:r>
              <w:rPr>
                <w:color w:val="14213D"/>
                <w:sz w:val="18"/>
              </w:rPr>
              <w:t>Δy(τ) ≈ s₁ · PC1(τ) + s₂ · PC2(τ) + s₃ · PC3(τ).     The level on the screen is y(τ) = y₀(τ) + Σ sⱼ · PCⱼ(τ), where y₀ is the 9 March 2023 curve.</w:t>
            </w:r>
          </w:p>
        </w:tc>
      </w:tr>
    </w:tbl>
    <w:p>
      <w:pPr>
        <w:spacing w:after="40"/>
      </w:pPr>
    </w:p>
    <w:p>
      <w:pPr>
        <w:spacing w:after="100" w:line="271" w:lineRule="auto"/>
      </w:pPr>
      <w:r>
        <w:rPr>
          <w:i w:val="0"/>
          <w:color w:val="2D3648"/>
          <w:sz w:val="20"/>
        </w:rPr>
        <w:t>I choose signs so that PC1 is a level shift (all loadings positive), PC2 is a steepener (long-end loading positive, short-end negative), and PC3 is a twist with a negative 5Y loading. These are labels for interpretation, not restrictions from the data. The event decomposition projects the 9→17 March change vector onto the pre-event loadings: sⱼ = PCⱼ′ · Δy. Because the three PCs are orthogonal, the contributions add up; the residual is what the three factors miss.</w:t>
      </w:r>
    </w:p>
    <w:p>
      <w:pPr>
        <w:pStyle w:val="Heading2"/>
        <w:keepNext/>
        <w:spacing w:before="240" w:after="80"/>
      </w:pPr>
      <w:r>
        <w:rPr>
          <w:rFonts w:ascii="Calibri" w:hAnsi="Calibri"/>
          <w:b/>
          <w:color w:val="2F6FED"/>
          <w:sz w:val="25"/>
        </w:rPr>
        <w:t>1.3  What the factors explain</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1701"/>
        <w:gridCol w:w="2381"/>
        <w:gridCol w:w="2041"/>
        <w:gridCol w:w="2608"/>
      </w:tblGrid>
      <w:tr>
        <w:trPr>
          <w:tblHeader w:val="true"/>
        </w:trPr>
        <w:tc>
          <w:tcPr>
            <w:tcW w:type="dxa" w:w="1701"/>
            <w:shd w:fill="14213D"/>
            <w:tcMar>
              <w:top w:w="50" w:type="dxa"/>
              <w:bottom w:w="50" w:type="dxa"/>
              <w:left w:w="80" w:type="dxa"/>
              <w:right w:w="80" w:type="dxa"/>
            </w:tcMar>
            <w:vAlign w:val="center"/>
          </w:tcPr>
          <w:p>
            <w:pPr>
              <w:jc w:val="left"/>
            </w:pPr>
            <w:r/>
            <w:r>
              <w:rPr>
                <w:b/>
                <w:color w:val="FFFFFF"/>
                <w:sz w:val="16"/>
              </w:rPr>
              <w:t>Factor</w:t>
            </w:r>
          </w:p>
        </w:tc>
        <w:tc>
          <w:tcPr>
            <w:tcW w:type="dxa" w:w="2381"/>
            <w:shd w:fill="14213D"/>
            <w:tcMar>
              <w:top w:w="50" w:type="dxa"/>
              <w:bottom w:w="50" w:type="dxa"/>
              <w:left w:w="80" w:type="dxa"/>
              <w:right w:w="80" w:type="dxa"/>
            </w:tcMar>
            <w:vAlign w:val="center"/>
          </w:tcPr>
          <w:p>
            <w:pPr>
              <w:jc w:val="right"/>
            </w:pPr>
            <w:r/>
            <w:r>
              <w:rPr>
                <w:b/>
                <w:color w:val="FFFFFF"/>
                <w:sz w:val="16"/>
              </w:rPr>
              <w:t>Variance explained</w:t>
            </w:r>
          </w:p>
        </w:tc>
        <w:tc>
          <w:tcPr>
            <w:tcW w:type="dxa" w:w="2041"/>
            <w:shd w:fill="14213D"/>
            <w:tcMar>
              <w:top w:w="50" w:type="dxa"/>
              <w:bottom w:w="50" w:type="dxa"/>
              <w:left w:w="80" w:type="dxa"/>
              <w:right w:w="80" w:type="dxa"/>
            </w:tcMar>
            <w:vAlign w:val="center"/>
          </w:tcPr>
          <w:p>
            <w:pPr>
              <w:jc w:val="right"/>
            </w:pPr>
            <w:r/>
            <w:r>
              <w:rPr>
                <w:b/>
                <w:color w:val="FFFFFF"/>
                <w:sz w:val="16"/>
              </w:rPr>
              <w:t>Cumulative</w:t>
            </w:r>
          </w:p>
        </w:tc>
        <w:tc>
          <w:tcPr>
            <w:tcW w:type="dxa" w:w="2608"/>
            <w:shd w:fill="14213D"/>
            <w:tcMar>
              <w:top w:w="50" w:type="dxa"/>
              <w:bottom w:w="50" w:type="dxa"/>
              <w:left w:w="80" w:type="dxa"/>
              <w:right w:w="80" w:type="dxa"/>
            </w:tcMar>
            <w:vAlign w:val="center"/>
          </w:tcPr>
          <w:p>
            <w:pPr>
              <w:jc w:val="right"/>
            </w:pPr>
            <w:r/>
            <w:r>
              <w:rPr>
                <w:b/>
                <w:color w:val="FFFFFF"/>
                <w:sz w:val="16"/>
              </w:rPr>
              <w:t>Std. dev. of score</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PC1</w:t>
            </w:r>
          </w:p>
        </w:tc>
        <w:tc>
          <w:tcPr>
            <w:tcW w:type="dxa" w:w="2381"/>
            <w:tcMar>
              <w:top w:w="50" w:type="dxa"/>
              <w:bottom w:w="50" w:type="dxa"/>
              <w:left w:w="80" w:type="dxa"/>
              <w:right w:w="80" w:type="dxa"/>
            </w:tcMar>
            <w:vAlign w:val="center"/>
          </w:tcPr>
          <w:p>
            <w:pPr>
              <w:spacing w:after="0" w:before="0" w:line="240" w:lineRule="auto"/>
              <w:jc w:val="right"/>
            </w:pPr>
            <w:r/>
            <w:r>
              <w:rPr>
                <w:color w:val="14213D"/>
                <w:sz w:val="16"/>
              </w:rPr>
              <w:t>67.9%</w:t>
            </w:r>
          </w:p>
        </w:tc>
        <w:tc>
          <w:tcPr>
            <w:tcW w:type="dxa" w:w="2041"/>
            <w:tcMar>
              <w:top w:w="50" w:type="dxa"/>
              <w:bottom w:w="50" w:type="dxa"/>
              <w:left w:w="80" w:type="dxa"/>
              <w:right w:w="80" w:type="dxa"/>
            </w:tcMar>
            <w:vAlign w:val="center"/>
          </w:tcPr>
          <w:p>
            <w:pPr>
              <w:spacing w:after="0" w:before="0" w:line="240" w:lineRule="auto"/>
              <w:jc w:val="right"/>
            </w:pPr>
            <w:r/>
            <w:r>
              <w:rPr>
                <w:color w:val="14213D"/>
                <w:sz w:val="16"/>
              </w:rPr>
              <w:t>67.9%</w:t>
            </w:r>
          </w:p>
        </w:tc>
        <w:tc>
          <w:tcPr>
            <w:tcW w:type="dxa" w:w="2608"/>
            <w:tcMar>
              <w:top w:w="50" w:type="dxa"/>
              <w:bottom w:w="50" w:type="dxa"/>
              <w:left w:w="80" w:type="dxa"/>
              <w:right w:w="80" w:type="dxa"/>
            </w:tcMar>
            <w:vAlign w:val="center"/>
          </w:tcPr>
          <w:p>
            <w:pPr>
              <w:spacing w:after="0" w:before="0" w:line="240" w:lineRule="auto"/>
              <w:jc w:val="right"/>
            </w:pPr>
            <w:r/>
            <w:r>
              <w:rPr>
                <w:color w:val="14213D"/>
                <w:sz w:val="16"/>
              </w:rPr>
              <w:t>14.9 bp</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PC2</w:t>
            </w:r>
          </w:p>
        </w:tc>
        <w:tc>
          <w:tcPr>
            <w:tcW w:type="dxa" w:w="2381"/>
            <w:tcMar>
              <w:top w:w="50" w:type="dxa"/>
              <w:bottom w:w="50" w:type="dxa"/>
              <w:left w:w="80" w:type="dxa"/>
              <w:right w:w="80" w:type="dxa"/>
            </w:tcMar>
            <w:vAlign w:val="center"/>
            <w:shd w:fill="F8F4EB"/>
          </w:tcPr>
          <w:p>
            <w:pPr>
              <w:spacing w:after="0" w:before="0" w:line="240" w:lineRule="auto"/>
              <w:jc w:val="right"/>
            </w:pPr>
            <w:r/>
            <w:r>
              <w:rPr>
                <w:color w:val="14213D"/>
                <w:sz w:val="16"/>
              </w:rPr>
              <w:t>23.4%</w:t>
            </w:r>
          </w:p>
        </w:tc>
        <w:tc>
          <w:tcPr>
            <w:tcW w:type="dxa" w:w="2041"/>
            <w:tcMar>
              <w:top w:w="50" w:type="dxa"/>
              <w:bottom w:w="50" w:type="dxa"/>
              <w:left w:w="80" w:type="dxa"/>
              <w:right w:w="80" w:type="dxa"/>
            </w:tcMar>
            <w:vAlign w:val="center"/>
            <w:shd w:fill="F8F4EB"/>
          </w:tcPr>
          <w:p>
            <w:pPr>
              <w:spacing w:after="0" w:before="0" w:line="240" w:lineRule="auto"/>
              <w:jc w:val="right"/>
            </w:pPr>
            <w:r/>
            <w:r>
              <w:rPr>
                <w:color w:val="14213D"/>
                <w:sz w:val="16"/>
              </w:rPr>
              <w:t>91.2%</w:t>
            </w:r>
          </w:p>
        </w:tc>
        <w:tc>
          <w:tcPr>
            <w:tcW w:type="dxa" w:w="2608"/>
            <w:tcMar>
              <w:top w:w="50" w:type="dxa"/>
              <w:bottom w:w="50" w:type="dxa"/>
              <w:left w:w="80" w:type="dxa"/>
              <w:right w:w="80" w:type="dxa"/>
            </w:tcMar>
            <w:vAlign w:val="center"/>
            <w:shd w:fill="F8F4EB"/>
          </w:tcPr>
          <w:p>
            <w:pPr>
              <w:spacing w:after="0" w:before="0" w:line="240" w:lineRule="auto"/>
              <w:jc w:val="right"/>
            </w:pPr>
            <w:r/>
            <w:r>
              <w:rPr>
                <w:color w:val="14213D"/>
                <w:sz w:val="16"/>
              </w:rPr>
              <w:t>8.8 bp</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PC3</w:t>
            </w:r>
          </w:p>
        </w:tc>
        <w:tc>
          <w:tcPr>
            <w:tcW w:type="dxa" w:w="2381"/>
            <w:tcMar>
              <w:top w:w="50" w:type="dxa"/>
              <w:bottom w:w="50" w:type="dxa"/>
              <w:left w:w="80" w:type="dxa"/>
              <w:right w:w="80" w:type="dxa"/>
            </w:tcMar>
            <w:vAlign w:val="center"/>
          </w:tcPr>
          <w:p>
            <w:pPr>
              <w:spacing w:after="0" w:before="0" w:line="240" w:lineRule="auto"/>
              <w:jc w:val="right"/>
            </w:pPr>
            <w:r/>
            <w:r>
              <w:rPr>
                <w:color w:val="14213D"/>
                <w:sz w:val="16"/>
              </w:rPr>
              <w:t>4.7%</w:t>
            </w:r>
          </w:p>
        </w:tc>
        <w:tc>
          <w:tcPr>
            <w:tcW w:type="dxa" w:w="2041"/>
            <w:tcMar>
              <w:top w:w="50" w:type="dxa"/>
              <w:bottom w:w="50" w:type="dxa"/>
              <w:left w:w="80" w:type="dxa"/>
              <w:right w:w="80" w:type="dxa"/>
            </w:tcMar>
            <w:vAlign w:val="center"/>
          </w:tcPr>
          <w:p>
            <w:pPr>
              <w:spacing w:after="0" w:before="0" w:line="240" w:lineRule="auto"/>
              <w:jc w:val="right"/>
            </w:pPr>
            <w:r/>
            <w:r>
              <w:rPr>
                <w:color w:val="14213D"/>
                <w:sz w:val="16"/>
              </w:rPr>
              <w:t>96.0%</w:t>
            </w:r>
          </w:p>
        </w:tc>
        <w:tc>
          <w:tcPr>
            <w:tcW w:type="dxa" w:w="2608"/>
            <w:tcMar>
              <w:top w:w="50" w:type="dxa"/>
              <w:bottom w:w="50" w:type="dxa"/>
              <w:left w:w="80" w:type="dxa"/>
              <w:right w:w="80" w:type="dxa"/>
            </w:tcMar>
            <w:vAlign w:val="center"/>
          </w:tcPr>
          <w:p>
            <w:pPr>
              <w:spacing w:after="0" w:before="0" w:line="240" w:lineRule="auto"/>
              <w:jc w:val="right"/>
            </w:pPr>
            <w:r/>
            <w:r>
              <w:rPr>
                <w:color w:val="14213D"/>
                <w:sz w:val="16"/>
              </w:rPr>
              <w:t>3.9 bp</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PC4–PC10</w:t>
            </w:r>
          </w:p>
        </w:tc>
        <w:tc>
          <w:tcPr>
            <w:tcW w:type="dxa" w:w="2381"/>
            <w:tcMar>
              <w:top w:w="50" w:type="dxa"/>
              <w:bottom w:w="50" w:type="dxa"/>
              <w:left w:w="80" w:type="dxa"/>
              <w:right w:w="80" w:type="dxa"/>
            </w:tcMar>
            <w:vAlign w:val="center"/>
            <w:shd w:fill="F8F4EB"/>
          </w:tcPr>
          <w:p>
            <w:pPr>
              <w:spacing w:after="0" w:before="0" w:line="240" w:lineRule="auto"/>
              <w:jc w:val="right"/>
            </w:pPr>
            <w:r/>
            <w:r>
              <w:rPr>
                <w:color w:val="14213D"/>
                <w:sz w:val="16"/>
              </w:rPr>
              <w:t>4.0%</w:t>
            </w:r>
          </w:p>
        </w:tc>
        <w:tc>
          <w:tcPr>
            <w:tcW w:type="dxa" w:w="2041"/>
            <w:tcMar>
              <w:top w:w="50" w:type="dxa"/>
              <w:bottom w:w="50" w:type="dxa"/>
              <w:left w:w="80" w:type="dxa"/>
              <w:right w:w="80" w:type="dxa"/>
            </w:tcMar>
            <w:vAlign w:val="center"/>
            <w:shd w:fill="F8F4EB"/>
          </w:tcPr>
          <w:p>
            <w:pPr>
              <w:spacing w:after="0" w:before="0" w:line="240" w:lineRule="auto"/>
              <w:jc w:val="right"/>
            </w:pPr>
            <w:r/>
            <w:r>
              <w:rPr>
                <w:color w:val="14213D"/>
                <w:sz w:val="16"/>
              </w:rPr>
              <w:t>100.0%</w:t>
            </w:r>
          </w:p>
        </w:tc>
        <w:tc>
          <w:tcPr>
            <w:tcW w:type="dxa" w:w="2608"/>
            <w:tcMar>
              <w:top w:w="50" w:type="dxa"/>
              <w:bottom w:w="50" w:type="dxa"/>
              <w:left w:w="80" w:type="dxa"/>
              <w:right w:w="80" w:type="dxa"/>
            </w:tcMar>
            <w:vAlign w:val="center"/>
            <w:shd w:fill="F8F4EB"/>
          </w:tcPr>
          <w:p>
            <w:pPr>
              <w:spacing w:after="0" w:before="0" w:line="240" w:lineRule="auto"/>
              <w:jc w:val="right"/>
            </w:pPr>
            <w:r/>
            <w:r>
              <w:rPr>
                <w:color w:val="14213D"/>
                <w:sz w:val="16"/>
              </w:rPr>
              <w:t>—</w:t>
            </w:r>
          </w:p>
        </w:tc>
      </w:tr>
    </w:tbl>
    <w:p>
      <w:pPr>
        <w:spacing w:before="40" w:after="20"/>
      </w:pPr>
      <w:r>
        <w:rPr>
          <w:i/>
          <w:color w:val="7A8291"/>
          <w:sz w:val="16"/>
        </w:rPr>
        <w:t>Table 1. PCA variance shares, daily changes, 4 Oct 1993 – 8 Mar 2023.</w:t>
      </w:r>
    </w:p>
    <w:p>
      <w:pPr>
        <w:spacing w:before="0" w:after="180"/>
      </w:pPr>
      <w:r>
        <w:rPr>
          <w:color w:val="7A8291"/>
          <w:sz w:val="15"/>
        </w:rPr>
        <w:t>The first three factors explain 96.0% of the sample variance. The standard deviation is for the daily factor score, not for a yield.</w:t>
      </w:r>
    </w:p>
    <w:p>
      <w:pPr>
        <w:spacing w:after="100" w:line="271" w:lineRule="auto"/>
      </w:pPr>
      <w:r>
        <w:rPr>
          <w:i w:val="0"/>
          <w:color w:val="2D3648"/>
          <w:sz w:val="20"/>
        </w:rPr>
        <w:t>The 96.0% figure is high, but it is not a guarantee that three factors will fit a particular episode. The March 2023 move was extreme and concentrated at the front end, which is exactly where a three-factor approximation is most likely to leave a residual.</w:t>
      </w:r>
    </w:p>
    <w:p>
      <w:pPr>
        <w:spacing w:before="200" w:after="40"/>
      </w:pPr>
      <w:r>
        <w:rPr>
          <w:rFonts w:ascii="Calibri" w:hAnsi="Calibri"/>
          <w:b/>
          <w:color w:val="2F6FED"/>
          <w:sz w:val="16"/>
          <w:spacing w:val="28"/>
        </w:rPr>
        <w:t>LEVEL, SLOPE AND A TWIST</w:t>
      </w:r>
    </w:p>
    <w:p>
      <w:pPr>
        <w:pStyle w:val="Heading1"/>
        <w:keepNext/>
        <w:spacing w:before="0" w:after="160"/>
      </w:pPr>
      <w:r>
        <w:rPr>
          <w:rFonts w:ascii="Georgia" w:hAnsi="Georgia"/>
          <w:color w:val="2F6FED"/>
          <w:sz w:val="38"/>
        </w:rPr>
        <w:t xml:space="preserve">2  </w:t>
      </w:r>
      <w:r>
        <w:rPr>
          <w:rFonts w:ascii="Georgia" w:hAnsi="Georgia"/>
          <w:color w:val="14213D"/>
          <w:sz w:val="44"/>
        </w:rPr>
        <w:t>The three factors</w:t>
      </w:r>
    </w:p>
    <w:p>
      <w:pPr>
        <w:spacing w:before="0" w:after="180"/>
        <w:pBdr>
          <w:bottom w:val="single" w:sz="6" w:space="1" w:color="C9C1B2"/>
        </w:pBdr>
      </w:pPr>
    </w:p>
    <w:p>
      <w:pPr>
        <w:spacing w:after="100" w:line="271" w:lineRule="auto"/>
      </w:pPr>
      <w:r>
        <w:rPr>
          <w:i w:val="0"/>
          <w:color w:val="2D3648"/>
          <w:sz w:val="20"/>
        </w:rPr>
        <w:t>Figure 1 plots the loadings. The blue line is the level factor: every tenor has a positive loading, with the largest values around 5–7Y. A positive PC1 score raises the whole curve; a negative score lowers it. This is the “parallel” factor, although it is not perfectly flat: the long end moves a little less than the belly.</w:t>
      </w:r>
    </w:p>
    <w:p>
      <w:pPr>
        <w:keepNext/>
        <w:spacing w:before="120" w:after="40"/>
        <w:jc w:val="center"/>
      </w:pPr>
      <w:r>
        <w:drawing>
          <wp:inline xmlns:a="http://schemas.openxmlformats.org/drawingml/2006/main" xmlns:pic="http://schemas.openxmlformats.org/drawingml/2006/picture">
            <wp:extent cx="5943600" cy="3612859"/>
            <wp:docPr id="2" name="Picture 2"/>
            <wp:cNvGraphicFramePr>
              <a:graphicFrameLocks noChangeAspect="1"/>
            </wp:cNvGraphicFramePr>
            <a:graphic>
              <a:graphicData uri="http://schemas.openxmlformats.org/drawingml/2006/picture">
                <pic:pic>
                  <pic:nvPicPr>
                    <pic:cNvPr id="0" name="fig_loadings.png"/>
                    <pic:cNvPicPr/>
                  </pic:nvPicPr>
                  <pic:blipFill>
                    <a:blip r:embed="rId12"/>
                    <a:stretch>
                      <a:fillRect/>
                    </a:stretch>
                  </pic:blipFill>
                  <pic:spPr>
                    <a:xfrm>
                      <a:off x="0" y="0"/>
                      <a:ext cx="5943600" cy="3612859"/>
                    </a:xfrm>
                    <a:prstGeom prst="rect"/>
                  </pic:spPr>
                </pic:pic>
              </a:graphicData>
            </a:graphic>
          </wp:inline>
        </w:drawing>
      </w:r>
    </w:p>
    <w:p>
      <w:pPr>
        <w:spacing w:before="40" w:after="20"/>
      </w:pPr>
      <w:r>
        <w:rPr>
          <w:i/>
          <w:color w:val="7A8291"/>
          <w:sz w:val="16"/>
        </w:rPr>
        <w:t>Figure 1. The first three principal-component loadings. PC1 is level, PC2 is slope and PC3 is a wings-versus-belly twist.</w:t>
      </w:r>
    </w:p>
    <w:p>
      <w:pPr>
        <w:spacing w:before="0" w:after="180"/>
      </w:pPr>
      <w:r>
        <w:rPr>
          <w:color w:val="7A8291"/>
          <w:sz w:val="15"/>
        </w:rPr>
        <w:t>Estimated from daily changes in ten US Treasury par yields, 4 Oct 1993 – 8 Mar 2023.</w:t>
      </w:r>
    </w:p>
    <w:p>
      <w:pPr>
        <w:spacing w:after="100" w:line="271" w:lineRule="auto"/>
      </w:pPr>
      <w:r>
        <w:rPr>
          <w:b/>
          <w:color w:val="14213D"/>
          <w:sz w:val="20"/>
        </w:rPr>
        <w:t xml:space="preserve">Level.  </w:t>
      </w:r>
      <w:r>
        <w:rPr>
          <w:i w:val="0"/>
          <w:color w:val="2D3648"/>
          <w:sz w:val="20"/>
        </w:rPr>
        <w:t>PC1 is the largest factor at 67.9% of variance. A one-standard-deviation PC1 score is 14.9 bp; multiplied by the 10Y loading of 0.359, that is about 5.4 bp at the 10Y. The factor is not a pure parallel shift because the 5Y loading (0.387) is higher than the 30Y loading (0.291), so a level shock also changes the curve’s shape a little.</w:t>
      </w:r>
    </w:p>
    <w:p>
      <w:pPr>
        <w:spacing w:after="100" w:line="271" w:lineRule="auto"/>
      </w:pPr>
      <w:r>
        <w:rPr>
          <w:b/>
          <w:color w:val="14213D"/>
          <w:sz w:val="20"/>
        </w:rPr>
        <w:t xml:space="preserve">Slope.  </w:t>
      </w:r>
      <w:r>
        <w:rPr>
          <w:i w:val="0"/>
          <w:color w:val="2D3648"/>
          <w:sz w:val="20"/>
        </w:rPr>
        <w:t>PC2 explains 23.4%. Its loadings run from −0.553 at 3M to +0.313 at 30Y, crossing zero near 5Y. A positive score is a steepener: the long end rises relative to the short end (or the short end falls more). A one-standard-deviation score is 8.8 bp and moves 2s10s by about 3.6 bp. This is the factor that captures growth, term-premium and Fed-path news.</w:t>
      </w:r>
    </w:p>
    <w:p>
      <w:pPr>
        <w:spacing w:after="100" w:line="271" w:lineRule="auto"/>
      </w:pPr>
      <w:r>
        <w:rPr>
          <w:b/>
          <w:color w:val="14213D"/>
          <w:sz w:val="20"/>
        </w:rPr>
        <w:t xml:space="preserve">Curvature.  </w:t>
      </w:r>
      <w:r>
        <w:rPr>
          <w:i w:val="0"/>
          <w:color w:val="2D3648"/>
          <w:sz w:val="20"/>
        </w:rPr>
        <w:t>PC3 explains 4.7% and is the most interesting shape. The loadings are +0.564 at 3M, −0.421 at 2Y, −0.195 at 5Y, +0.122 at 10Y and +0.389 at 30Y. A positive score therefore pushes the very front end and the long end up, while the 2–5Y sector falls. It is a twist, not a textbook 2s5s10s butterfly. I label it “curvature” because it changes the shape of the curve at a smaller scale; the label is descriptive.</w:t>
      </w:r>
    </w:p>
    <w:p>
      <w:pPr>
        <w:spacing w:after="100" w:line="271" w:lineRule="auto"/>
      </w:pPr>
      <w:r>
        <w:rPr>
          <w:i w:val="0"/>
          <w:color w:val="2D3648"/>
          <w:sz w:val="20"/>
        </w:rPr>
        <w:t>The fact that PC1 is 68%, rather than the 80–90% often quoted for US yields, is not a mistake. The sample includes the 2020–23 period, when front-end volatility was extraordinary, and the curve has ten tenors including the 20Y and 30Y. A shorter sample or a 2Y–10Y-only curve would produce a larger first factor. The economic interpretation is unchanged.</w:t>
      </w:r>
    </w:p>
    <w:p>
      <w:pPr>
        <w:spacing w:before="200" w:after="40"/>
      </w:pPr>
      <w:r>
        <w:rPr>
          <w:rFonts w:ascii="Calibri" w:hAnsi="Calibri"/>
          <w:b/>
          <w:color w:val="2F6FED"/>
          <w:sz w:val="16"/>
          <w:spacing w:val="28"/>
        </w:rPr>
        <w:t>A BULL STEEPENER, NOT A PARALLEL RALLY</w:t>
      </w:r>
    </w:p>
    <w:p>
      <w:pPr>
        <w:pStyle w:val="Heading1"/>
        <w:keepNext/>
        <w:spacing w:before="0" w:after="160"/>
      </w:pPr>
      <w:r>
        <w:rPr>
          <w:rFonts w:ascii="Georgia" w:hAnsi="Georgia"/>
          <w:color w:val="2F6FED"/>
          <w:sz w:val="38"/>
        </w:rPr>
        <w:t xml:space="preserve">3  </w:t>
      </w:r>
      <w:r>
        <w:rPr>
          <w:rFonts w:ascii="Georgia" w:hAnsi="Georgia"/>
          <w:color w:val="14213D"/>
          <w:sz w:val="44"/>
        </w:rPr>
        <w:t>The March 2023 move</w:t>
      </w:r>
    </w:p>
    <w:p>
      <w:pPr>
        <w:spacing w:before="0" w:after="180"/>
        <w:pBdr>
          <w:bottom w:val="single" w:sz="6" w:space="1" w:color="C9C1B2"/>
        </w:pBdr>
      </w:pPr>
    </w:p>
    <w:p>
      <w:pPr>
        <w:pStyle w:val="Heading2"/>
        <w:keepNext/>
        <w:spacing w:before="240" w:after="80"/>
      </w:pPr>
      <w:r>
        <w:rPr>
          <w:rFonts w:ascii="Calibri" w:hAnsi="Calibri"/>
          <w:b/>
          <w:color w:val="2F6FED"/>
          <w:sz w:val="25"/>
        </w:rPr>
        <w:t>3.1  What happened to the curve</w:t>
      </w:r>
    </w:p>
    <w:p>
      <w:pPr>
        <w:spacing w:after="100" w:line="271" w:lineRule="auto"/>
      </w:pPr>
      <w:r>
        <w:rPr>
          <w:i w:val="0"/>
          <w:color w:val="2D3648"/>
          <w:sz w:val="20"/>
        </w:rPr>
        <w:t>On 9 March 2023 the 2Y par yield was 4.90% and the 10Y was 3.93%. By 17 March the 2Y was 3.81% and the 10Y was 3.39%. The 2Y fell 109 bp, the 10Y 54 bp and the 30Y only 28 bp. The 2s10s spread moved from −97 bp to −42 bp, a 55 bp steepening. The 3M–10Y spread was almost unchanged (−112 bp to −113 bp), because the very front end and the 10Y fell by similar amounts. The 5Y butterfly (2×5Y − 2Y − 10Y) moved from −39 bp to −32 bp, a modest 7 bp cheapening of the belly.</w:t>
      </w:r>
    </w:p>
    <w:p>
      <w:pPr>
        <w:keepNext/>
        <w:spacing w:before="120" w:after="40"/>
        <w:jc w:val="center"/>
      </w:pPr>
      <w:r>
        <w:drawing>
          <wp:inline xmlns:a="http://schemas.openxmlformats.org/drawingml/2006/main" xmlns:pic="http://schemas.openxmlformats.org/drawingml/2006/picture">
            <wp:extent cx="5943600" cy="3371062"/>
            <wp:docPr id="3" name="Picture 3"/>
            <wp:cNvGraphicFramePr>
              <a:graphicFrameLocks noChangeAspect="1"/>
            </wp:cNvGraphicFramePr>
            <a:graphic>
              <a:graphicData uri="http://schemas.openxmlformats.org/drawingml/2006/picture">
                <pic:pic>
                  <pic:nvPicPr>
                    <pic:cNvPr id="0" name="fig_event_curve.png"/>
                    <pic:cNvPicPr/>
                  </pic:nvPicPr>
                  <pic:blipFill>
                    <a:blip r:embed="rId11"/>
                    <a:stretch>
                      <a:fillRect/>
                    </a:stretch>
                  </pic:blipFill>
                  <pic:spPr>
                    <a:xfrm>
                      <a:off x="0" y="0"/>
                      <a:ext cx="5943600" cy="3371062"/>
                    </a:xfrm>
                    <a:prstGeom prst="rect"/>
                  </pic:spPr>
                </pic:pic>
              </a:graphicData>
            </a:graphic>
          </wp:inline>
        </w:drawing>
      </w:r>
    </w:p>
    <w:p>
      <w:pPr>
        <w:spacing w:before="40" w:after="20"/>
      </w:pPr>
      <w:r>
        <w:rPr>
          <w:i/>
          <w:color w:val="7A8291"/>
          <w:sz w:val="16"/>
        </w:rPr>
        <w:t>Figure 2. The Treasury curve on 9 and 17 March 2023. The front end led the rally and the long end stayed relatively anchored.</w:t>
      </w:r>
    </w:p>
    <w:p>
      <w:pPr>
        <w:spacing w:before="0" w:after="180"/>
      </w:pPr>
      <w:r>
        <w:rPr>
          <w:color w:val="7A8291"/>
          <w:sz w:val="15"/>
        </w:rPr>
        <w:t>Source: US Department of the Treasury. Par yields, percent.</w:t>
      </w:r>
    </w:p>
    <w:p>
      <w:pPr>
        <w:pStyle w:val="Heading2"/>
        <w:keepNext/>
        <w:spacing w:before="240" w:after="80"/>
      </w:pPr>
      <w:r>
        <w:rPr>
          <w:rFonts w:ascii="Calibri" w:hAnsi="Calibri"/>
          <w:b/>
          <w:color w:val="2F6FED"/>
          <w:sz w:val="25"/>
        </w:rPr>
        <w:t>3.2  The factor decomposition</w:t>
      </w:r>
    </w:p>
    <w:p>
      <w:pPr>
        <w:spacing w:after="100" w:line="271" w:lineRule="auto"/>
      </w:pPr>
      <w:r>
        <w:rPr>
          <w:i w:val="0"/>
          <w:color w:val="2D3648"/>
          <w:sz w:val="20"/>
        </w:rPr>
        <w:t>Table 2 reports the full decomposition. The 3-factor fit explains 95.4% of the cross-sectional variation around the mean, and it is close at the 10Y and 30Y. It misses the 2Y by 9.5 bp and the 3Y by 7.7 bp. The pattern is not random: the front end moved in a way that the first three factors — estimated on a long sample — do not fully capture. The 2Y residual is the largest single error.</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794"/>
        <w:gridCol w:w="964"/>
        <w:gridCol w:w="964"/>
        <w:gridCol w:w="907"/>
        <w:gridCol w:w="1077"/>
        <w:gridCol w:w="1077"/>
        <w:gridCol w:w="1077"/>
        <w:gridCol w:w="1077"/>
        <w:gridCol w:w="1020"/>
      </w:tblGrid>
      <w:tr>
        <w:trPr>
          <w:tblHeader w:val="true"/>
        </w:trPr>
        <w:tc>
          <w:tcPr>
            <w:tcW w:type="dxa" w:w="794"/>
            <w:shd w:fill="14213D"/>
            <w:tcMar>
              <w:top w:w="50" w:type="dxa"/>
              <w:bottom w:w="50" w:type="dxa"/>
              <w:left w:w="80" w:type="dxa"/>
              <w:right w:w="80" w:type="dxa"/>
            </w:tcMar>
            <w:vAlign w:val="center"/>
          </w:tcPr>
          <w:p>
            <w:pPr>
              <w:jc w:val="left"/>
            </w:pPr>
            <w:r/>
            <w:r>
              <w:rPr>
                <w:b/>
                <w:color w:val="FFFFFF"/>
                <w:sz w:val="15"/>
              </w:rPr>
              <w:t>Tenor</w:t>
            </w:r>
          </w:p>
        </w:tc>
        <w:tc>
          <w:tcPr>
            <w:tcW w:type="dxa" w:w="964"/>
            <w:shd w:fill="14213D"/>
            <w:tcMar>
              <w:top w:w="50" w:type="dxa"/>
              <w:bottom w:w="50" w:type="dxa"/>
              <w:left w:w="80" w:type="dxa"/>
              <w:right w:w="80" w:type="dxa"/>
            </w:tcMar>
            <w:vAlign w:val="center"/>
          </w:tcPr>
          <w:p>
            <w:pPr>
              <w:jc w:val="right"/>
            </w:pPr>
            <w:r/>
            <w:r>
              <w:rPr>
                <w:b/>
                <w:color w:val="FFFFFF"/>
                <w:sz w:val="15"/>
              </w:rPr>
              <w:t>9 Mar</w:t>
            </w:r>
          </w:p>
        </w:tc>
        <w:tc>
          <w:tcPr>
            <w:tcW w:type="dxa" w:w="964"/>
            <w:shd w:fill="14213D"/>
            <w:tcMar>
              <w:top w:w="50" w:type="dxa"/>
              <w:bottom w:w="50" w:type="dxa"/>
              <w:left w:w="80" w:type="dxa"/>
              <w:right w:w="80" w:type="dxa"/>
            </w:tcMar>
            <w:vAlign w:val="center"/>
          </w:tcPr>
          <w:p>
            <w:pPr>
              <w:jc w:val="right"/>
            </w:pPr>
            <w:r/>
            <w:r>
              <w:rPr>
                <w:b/>
                <w:color w:val="FFFFFF"/>
                <w:sz w:val="15"/>
              </w:rPr>
              <w:t>17 Mar</w:t>
            </w:r>
          </w:p>
        </w:tc>
        <w:tc>
          <w:tcPr>
            <w:tcW w:type="dxa" w:w="907"/>
            <w:shd w:fill="14213D"/>
            <w:tcMar>
              <w:top w:w="50" w:type="dxa"/>
              <w:bottom w:w="50" w:type="dxa"/>
              <w:left w:w="80" w:type="dxa"/>
              <w:right w:w="80" w:type="dxa"/>
            </w:tcMar>
            <w:vAlign w:val="center"/>
          </w:tcPr>
          <w:p>
            <w:pPr>
              <w:jc w:val="right"/>
            </w:pPr>
            <w:r/>
            <w:r>
              <w:rPr>
                <w:b/>
                <w:color w:val="FFFFFF"/>
                <w:sz w:val="15"/>
              </w:rPr>
              <w:t>Δ bp</w:t>
            </w:r>
          </w:p>
        </w:tc>
        <w:tc>
          <w:tcPr>
            <w:tcW w:type="dxa" w:w="1077"/>
            <w:shd w:fill="14213D"/>
            <w:tcMar>
              <w:top w:w="50" w:type="dxa"/>
              <w:bottom w:w="50" w:type="dxa"/>
              <w:left w:w="80" w:type="dxa"/>
              <w:right w:w="80" w:type="dxa"/>
            </w:tcMar>
            <w:vAlign w:val="center"/>
          </w:tcPr>
          <w:p>
            <w:pPr>
              <w:jc w:val="right"/>
            </w:pPr>
            <w:r/>
            <w:r>
              <w:rPr>
                <w:b/>
                <w:color w:val="FFFFFF"/>
                <w:sz w:val="15"/>
              </w:rPr>
              <w:t>PC1</w:t>
            </w:r>
          </w:p>
        </w:tc>
        <w:tc>
          <w:tcPr>
            <w:tcW w:type="dxa" w:w="1077"/>
            <w:shd w:fill="14213D"/>
            <w:tcMar>
              <w:top w:w="50" w:type="dxa"/>
              <w:bottom w:w="50" w:type="dxa"/>
              <w:left w:w="80" w:type="dxa"/>
              <w:right w:w="80" w:type="dxa"/>
            </w:tcMar>
            <w:vAlign w:val="center"/>
          </w:tcPr>
          <w:p>
            <w:pPr>
              <w:jc w:val="right"/>
            </w:pPr>
            <w:r/>
            <w:r>
              <w:rPr>
                <w:b/>
                <w:color w:val="FFFFFF"/>
                <w:sz w:val="15"/>
              </w:rPr>
              <w:t>PC2</w:t>
            </w:r>
          </w:p>
        </w:tc>
        <w:tc>
          <w:tcPr>
            <w:tcW w:type="dxa" w:w="1077"/>
            <w:shd w:fill="14213D"/>
            <w:tcMar>
              <w:top w:w="50" w:type="dxa"/>
              <w:bottom w:w="50" w:type="dxa"/>
              <w:left w:w="80" w:type="dxa"/>
              <w:right w:w="80" w:type="dxa"/>
            </w:tcMar>
            <w:vAlign w:val="center"/>
          </w:tcPr>
          <w:p>
            <w:pPr>
              <w:jc w:val="right"/>
            </w:pPr>
            <w:r/>
            <w:r>
              <w:rPr>
                <w:b/>
                <w:color w:val="FFFFFF"/>
                <w:sz w:val="15"/>
              </w:rPr>
              <w:t>PC3</w:t>
            </w:r>
          </w:p>
        </w:tc>
        <w:tc>
          <w:tcPr>
            <w:tcW w:type="dxa" w:w="1077"/>
            <w:shd w:fill="14213D"/>
            <w:tcMar>
              <w:top w:w="50" w:type="dxa"/>
              <w:bottom w:w="50" w:type="dxa"/>
              <w:left w:w="80" w:type="dxa"/>
              <w:right w:w="80" w:type="dxa"/>
            </w:tcMar>
            <w:vAlign w:val="center"/>
          </w:tcPr>
          <w:p>
            <w:pPr>
              <w:jc w:val="right"/>
            </w:pPr>
            <w:r/>
            <w:r>
              <w:rPr>
                <w:b/>
                <w:color w:val="FFFFFF"/>
                <w:sz w:val="15"/>
              </w:rPr>
              <w:t>Fit</w:t>
            </w:r>
          </w:p>
        </w:tc>
        <w:tc>
          <w:tcPr>
            <w:tcW w:type="dxa" w:w="1020"/>
            <w:shd w:fill="14213D"/>
            <w:tcMar>
              <w:top w:w="50" w:type="dxa"/>
              <w:bottom w:w="50" w:type="dxa"/>
              <w:left w:w="80" w:type="dxa"/>
              <w:right w:w="80" w:type="dxa"/>
            </w:tcMar>
            <w:vAlign w:val="center"/>
          </w:tcPr>
          <w:p>
            <w:pPr>
              <w:jc w:val="right"/>
            </w:pPr>
            <w:r/>
            <w:r>
              <w:rPr>
                <w:b/>
                <w:color w:val="FFFFFF"/>
                <w:sz w:val="15"/>
              </w:rPr>
              <w:t>Resid.</w:t>
            </w:r>
          </w:p>
        </w:tc>
      </w:tr>
      <w:tr>
        <w:trPr>
          <w:cantSplit/>
        </w:trPr>
        <w:tc>
          <w:tcPr>
            <w:tcW w:type="dxa" w:w="794"/>
            <w:tcMar>
              <w:top w:w="50" w:type="dxa"/>
              <w:bottom w:w="50" w:type="dxa"/>
              <w:left w:w="80" w:type="dxa"/>
              <w:right w:w="80" w:type="dxa"/>
            </w:tcMar>
            <w:vAlign w:val="center"/>
          </w:tcPr>
          <w:p>
            <w:pPr>
              <w:spacing w:after="0" w:before="0" w:line="240" w:lineRule="auto"/>
              <w:jc w:val="left"/>
            </w:pPr>
            <w:r/>
            <w:r>
              <w:rPr>
                <w:b/>
                <w:color w:val="14213D"/>
                <w:sz w:val="15"/>
              </w:rPr>
              <w:t>3M</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5.05</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4.52</w:t>
            </w:r>
          </w:p>
        </w:tc>
        <w:tc>
          <w:tcPr>
            <w:tcW w:type="dxa" w:w="907"/>
            <w:tcMar>
              <w:top w:w="50" w:type="dxa"/>
              <w:bottom w:w="50" w:type="dxa"/>
              <w:left w:w="80" w:type="dxa"/>
              <w:right w:w="80" w:type="dxa"/>
            </w:tcMar>
            <w:vAlign w:val="center"/>
          </w:tcPr>
          <w:p>
            <w:pPr>
              <w:spacing w:after="0" w:before="0" w:line="240" w:lineRule="auto"/>
              <w:jc w:val="right"/>
            </w:pPr>
            <w:r/>
            <w:r>
              <w:rPr>
                <w:color w:val="14213D"/>
                <w:sz w:val="15"/>
              </w:rPr>
              <w:t>-53.0</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-37.6</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-36.8</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+22.2</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-52.2</w:t>
            </w:r>
          </w:p>
        </w:tc>
        <w:tc>
          <w:tcPr>
            <w:tcW w:type="dxa" w:w="1020"/>
            <w:tcMar>
              <w:top w:w="50" w:type="dxa"/>
              <w:bottom w:w="50" w:type="dxa"/>
              <w:left w:w="80" w:type="dxa"/>
              <w:right w:w="80" w:type="dxa"/>
            </w:tcMar>
            <w:vAlign w:val="center"/>
          </w:tcPr>
          <w:p>
            <w:pPr>
              <w:spacing w:after="0" w:before="0" w:line="240" w:lineRule="auto"/>
              <w:jc w:val="right"/>
            </w:pPr>
            <w:r/>
            <w:r>
              <w:rPr>
                <w:color w:val="14213D"/>
                <w:sz w:val="15"/>
              </w:rPr>
              <w:t>-0.8</w:t>
            </w:r>
          </w:p>
        </w:tc>
      </w:tr>
      <w:tr>
        <w:trPr>
          <w:cantSplit/>
        </w:trPr>
        <w:tc>
          <w:tcPr>
            <w:tcW w:type="dxa" w:w="794"/>
            <w:tcMar>
              <w:top w:w="50" w:type="dxa"/>
              <w:bottom w:w="50" w:type="dxa"/>
              <w:left w:w="80" w:type="dxa"/>
              <w:right w:w="80" w:type="dxa"/>
            </w:tcMar>
            <w:vAlign w:val="center"/>
            <w:shd w:fill="F8F4EB"/>
          </w:tcPr>
          <w:p>
            <w:pPr>
              <w:spacing w:after="0" w:before="0" w:line="240" w:lineRule="auto"/>
              <w:jc w:val="left"/>
            </w:pPr>
            <w:r/>
            <w:r>
              <w:rPr>
                <w:b/>
                <w:color w:val="14213D"/>
                <w:sz w:val="15"/>
              </w:rPr>
              <w:t>6M</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5.32</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4.71</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5"/>
              </w:rPr>
              <w:t>-61.0</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-43.8</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-31.6</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+6.5</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-68.9</w:t>
            </w:r>
          </w:p>
        </w:tc>
        <w:tc>
          <w:tcPr>
            <w:tcW w:type="dxa" w:w="1020"/>
            <w:tcMar>
              <w:top w:w="50" w:type="dxa"/>
              <w:bottom w:w="50" w:type="dxa"/>
              <w:left w:w="80" w:type="dxa"/>
              <w:right w:w="80" w:type="dxa"/>
            </w:tcMar>
            <w:vAlign w:val="center"/>
            <w:shd w:fill="F8F4EB"/>
          </w:tcPr>
          <w:p>
            <w:pPr>
              <w:spacing w:after="0" w:before="0" w:line="240" w:lineRule="auto"/>
              <w:jc w:val="right"/>
            </w:pPr>
            <w:r/>
            <w:r>
              <w:rPr>
                <w:color w:val="14213D"/>
                <w:sz w:val="15"/>
              </w:rPr>
              <w:t>+7.9</w:t>
            </w:r>
          </w:p>
        </w:tc>
      </w:tr>
      <w:tr>
        <w:trPr>
          <w:cantSplit/>
        </w:trPr>
        <w:tc>
          <w:tcPr>
            <w:tcW w:type="dxa" w:w="794"/>
            <w:tcMar>
              <w:top w:w="50" w:type="dxa"/>
              <w:bottom w:w="50" w:type="dxa"/>
              <w:left w:w="80" w:type="dxa"/>
              <w:right w:w="80" w:type="dxa"/>
            </w:tcMar>
            <w:vAlign w:val="center"/>
          </w:tcPr>
          <w:p>
            <w:pPr>
              <w:spacing w:after="0" w:before="0" w:line="240" w:lineRule="auto"/>
              <w:jc w:val="left"/>
            </w:pPr>
            <w:r/>
            <w:r>
              <w:rPr>
                <w:b/>
                <w:color w:val="14213D"/>
                <w:sz w:val="15"/>
              </w:rPr>
              <w:t>1Y</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5.18</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4.26</w:t>
            </w:r>
          </w:p>
        </w:tc>
        <w:tc>
          <w:tcPr>
            <w:tcW w:type="dxa" w:w="907"/>
            <w:tcMar>
              <w:top w:w="50" w:type="dxa"/>
              <w:bottom w:w="50" w:type="dxa"/>
              <w:left w:w="80" w:type="dxa"/>
              <w:right w:w="80" w:type="dxa"/>
            </w:tcMar>
            <w:vAlign w:val="center"/>
          </w:tcPr>
          <w:p>
            <w:pPr>
              <w:spacing w:after="0" w:before="0" w:line="240" w:lineRule="auto"/>
              <w:jc w:val="right"/>
            </w:pPr>
            <w:r/>
            <w:r>
              <w:rPr>
                <w:color w:val="14213D"/>
                <w:sz w:val="15"/>
              </w:rPr>
              <w:t>-92.0</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-53.7</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-24.4</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-5.7</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-83.7</w:t>
            </w:r>
          </w:p>
        </w:tc>
        <w:tc>
          <w:tcPr>
            <w:tcW w:type="dxa" w:w="1020"/>
            <w:tcMar>
              <w:top w:w="50" w:type="dxa"/>
              <w:bottom w:w="50" w:type="dxa"/>
              <w:left w:w="80" w:type="dxa"/>
              <w:right w:w="80" w:type="dxa"/>
            </w:tcMar>
            <w:vAlign w:val="center"/>
          </w:tcPr>
          <w:p>
            <w:pPr>
              <w:spacing w:after="0" w:before="0" w:line="240" w:lineRule="auto"/>
              <w:jc w:val="right"/>
            </w:pPr>
            <w:r/>
            <w:r>
              <w:rPr>
                <w:color w:val="14213D"/>
                <w:sz w:val="15"/>
              </w:rPr>
              <w:t>-8.3</w:t>
            </w:r>
          </w:p>
        </w:tc>
      </w:tr>
      <w:tr>
        <w:trPr>
          <w:cantSplit/>
        </w:trPr>
        <w:tc>
          <w:tcPr>
            <w:tcW w:type="dxa" w:w="794"/>
            <w:tcMar>
              <w:top w:w="50" w:type="dxa"/>
              <w:bottom w:w="50" w:type="dxa"/>
              <w:left w:w="80" w:type="dxa"/>
              <w:right w:w="80" w:type="dxa"/>
            </w:tcMar>
            <w:vAlign w:val="center"/>
            <w:shd w:fill="F8F4EB"/>
          </w:tcPr>
          <w:p>
            <w:pPr>
              <w:spacing w:after="0" w:before="0" w:line="240" w:lineRule="auto"/>
              <w:jc w:val="left"/>
            </w:pPr>
            <w:r/>
            <w:r>
              <w:rPr>
                <w:b/>
                <w:color w:val="14213D"/>
                <w:sz w:val="15"/>
              </w:rPr>
              <w:t>2Y</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4.90</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3.81</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5"/>
              </w:rPr>
              <w:t>-109.0</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-70.9</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-12.0</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-16.6</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-99.5</w:t>
            </w:r>
          </w:p>
        </w:tc>
        <w:tc>
          <w:tcPr>
            <w:tcW w:type="dxa" w:w="1020"/>
            <w:tcMar>
              <w:top w:w="50" w:type="dxa"/>
              <w:bottom w:w="50" w:type="dxa"/>
              <w:left w:w="80" w:type="dxa"/>
              <w:right w:w="80" w:type="dxa"/>
            </w:tcMar>
            <w:vAlign w:val="center"/>
            <w:shd w:fill="F8F4EB"/>
          </w:tcPr>
          <w:p>
            <w:pPr>
              <w:spacing w:after="0" w:before="0" w:line="240" w:lineRule="auto"/>
              <w:jc w:val="right"/>
            </w:pPr>
            <w:r/>
            <w:r>
              <w:rPr>
                <w:color w:val="14213D"/>
                <w:sz w:val="15"/>
              </w:rPr>
              <w:t>-9.5</w:t>
            </w:r>
          </w:p>
        </w:tc>
      </w:tr>
      <w:tr>
        <w:trPr>
          <w:cantSplit/>
        </w:trPr>
        <w:tc>
          <w:tcPr>
            <w:tcW w:type="dxa" w:w="794"/>
            <w:tcMar>
              <w:top w:w="50" w:type="dxa"/>
              <w:bottom w:w="50" w:type="dxa"/>
              <w:left w:w="80" w:type="dxa"/>
              <w:right w:w="80" w:type="dxa"/>
            </w:tcMar>
            <w:vAlign w:val="center"/>
          </w:tcPr>
          <w:p>
            <w:pPr>
              <w:spacing w:after="0" w:before="0" w:line="240" w:lineRule="auto"/>
              <w:jc w:val="left"/>
            </w:pPr>
            <w:r/>
            <w:r>
              <w:rPr>
                <w:b/>
                <w:color w:val="14213D"/>
                <w:sz w:val="15"/>
              </w:rPr>
              <w:t>3Y</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4.56</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3.68</w:t>
            </w:r>
          </w:p>
        </w:tc>
        <w:tc>
          <w:tcPr>
            <w:tcW w:type="dxa" w:w="907"/>
            <w:tcMar>
              <w:top w:w="50" w:type="dxa"/>
              <w:bottom w:w="50" w:type="dxa"/>
              <w:left w:w="80" w:type="dxa"/>
              <w:right w:w="80" w:type="dxa"/>
            </w:tcMar>
            <w:vAlign w:val="center"/>
          </w:tcPr>
          <w:p>
            <w:pPr>
              <w:spacing w:after="0" w:before="0" w:line="240" w:lineRule="auto"/>
              <w:jc w:val="right"/>
            </w:pPr>
            <w:r/>
            <w:r>
              <w:rPr>
                <w:color w:val="14213D"/>
                <w:sz w:val="15"/>
              </w:rPr>
              <w:t>-88.0</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-76.4</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-4.8</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-14.5</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-95.7</w:t>
            </w:r>
          </w:p>
        </w:tc>
        <w:tc>
          <w:tcPr>
            <w:tcW w:type="dxa" w:w="1020"/>
            <w:tcMar>
              <w:top w:w="50" w:type="dxa"/>
              <w:bottom w:w="50" w:type="dxa"/>
              <w:left w:w="80" w:type="dxa"/>
              <w:right w:w="80" w:type="dxa"/>
            </w:tcMar>
            <w:vAlign w:val="center"/>
          </w:tcPr>
          <w:p>
            <w:pPr>
              <w:spacing w:after="0" w:before="0" w:line="240" w:lineRule="auto"/>
              <w:jc w:val="right"/>
            </w:pPr>
            <w:r/>
            <w:r>
              <w:rPr>
                <w:color w:val="14213D"/>
                <w:sz w:val="15"/>
              </w:rPr>
              <w:t>+7.7</w:t>
            </w:r>
          </w:p>
        </w:tc>
      </w:tr>
      <w:tr>
        <w:trPr>
          <w:cantSplit/>
        </w:trPr>
        <w:tc>
          <w:tcPr>
            <w:tcW w:type="dxa" w:w="794"/>
            <w:tcMar>
              <w:top w:w="50" w:type="dxa"/>
              <w:bottom w:w="50" w:type="dxa"/>
              <w:left w:w="80" w:type="dxa"/>
              <w:right w:w="80" w:type="dxa"/>
            </w:tcMar>
            <w:vAlign w:val="center"/>
            <w:shd w:fill="F8F4EB"/>
          </w:tcPr>
          <w:p>
            <w:pPr>
              <w:spacing w:after="0" w:before="0" w:line="240" w:lineRule="auto"/>
              <w:jc w:val="left"/>
            </w:pPr>
            <w:r/>
            <w:r>
              <w:rPr>
                <w:b/>
                <w:color w:val="14213D"/>
                <w:sz w:val="15"/>
              </w:rPr>
              <w:t>5Y</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4.22</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3.44</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5"/>
              </w:rPr>
              <w:t>-78.0</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-80.6</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+6.3</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-7.7</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-82.0</w:t>
            </w:r>
          </w:p>
        </w:tc>
        <w:tc>
          <w:tcPr>
            <w:tcW w:type="dxa" w:w="1020"/>
            <w:tcMar>
              <w:top w:w="50" w:type="dxa"/>
              <w:bottom w:w="50" w:type="dxa"/>
              <w:left w:w="80" w:type="dxa"/>
              <w:right w:w="80" w:type="dxa"/>
            </w:tcMar>
            <w:vAlign w:val="center"/>
            <w:shd w:fill="F8F4EB"/>
          </w:tcPr>
          <w:p>
            <w:pPr>
              <w:spacing w:after="0" w:before="0" w:line="240" w:lineRule="auto"/>
              <w:jc w:val="right"/>
            </w:pPr>
            <w:r/>
            <w:r>
              <w:rPr>
                <w:color w:val="14213D"/>
                <w:sz w:val="15"/>
              </w:rPr>
              <w:t>+4.0</w:t>
            </w:r>
          </w:p>
        </w:tc>
      </w:tr>
      <w:tr>
        <w:trPr>
          <w:cantSplit/>
        </w:trPr>
        <w:tc>
          <w:tcPr>
            <w:tcW w:type="dxa" w:w="794"/>
            <w:tcMar>
              <w:top w:w="50" w:type="dxa"/>
              <w:bottom w:w="50" w:type="dxa"/>
              <w:left w:w="80" w:type="dxa"/>
              <w:right w:w="80" w:type="dxa"/>
            </w:tcMar>
            <w:vAlign w:val="center"/>
          </w:tcPr>
          <w:p>
            <w:pPr>
              <w:spacing w:after="0" w:before="0" w:line="240" w:lineRule="auto"/>
              <w:jc w:val="left"/>
            </w:pPr>
            <w:r/>
            <w:r>
              <w:rPr>
                <w:b/>
                <w:color w:val="14213D"/>
                <w:sz w:val="15"/>
              </w:rPr>
              <w:t>7Y</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4.10</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3.45</w:t>
            </w:r>
          </w:p>
        </w:tc>
        <w:tc>
          <w:tcPr>
            <w:tcW w:type="dxa" w:w="907"/>
            <w:tcMar>
              <w:top w:w="50" w:type="dxa"/>
              <w:bottom w:w="50" w:type="dxa"/>
              <w:left w:w="80" w:type="dxa"/>
              <w:right w:w="80" w:type="dxa"/>
            </w:tcMar>
            <w:vAlign w:val="center"/>
          </w:tcPr>
          <w:p>
            <w:pPr>
              <w:spacing w:after="0" w:before="0" w:line="240" w:lineRule="auto"/>
              <w:jc w:val="right"/>
            </w:pPr>
            <w:r/>
            <w:r>
              <w:rPr>
                <w:color w:val="14213D"/>
                <w:sz w:val="15"/>
              </w:rPr>
              <w:t>-65.0</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-80.2</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+12.6</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-0.8</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-68.4</w:t>
            </w:r>
          </w:p>
        </w:tc>
        <w:tc>
          <w:tcPr>
            <w:tcW w:type="dxa" w:w="1020"/>
            <w:tcMar>
              <w:top w:w="50" w:type="dxa"/>
              <w:bottom w:w="50" w:type="dxa"/>
              <w:left w:w="80" w:type="dxa"/>
              <w:right w:w="80" w:type="dxa"/>
            </w:tcMar>
            <w:vAlign w:val="center"/>
          </w:tcPr>
          <w:p>
            <w:pPr>
              <w:spacing w:after="0" w:before="0" w:line="240" w:lineRule="auto"/>
              <w:jc w:val="right"/>
            </w:pPr>
            <w:r/>
            <w:r>
              <w:rPr>
                <w:color w:val="14213D"/>
                <w:sz w:val="15"/>
              </w:rPr>
              <w:t>+3.4</w:t>
            </w:r>
          </w:p>
        </w:tc>
      </w:tr>
      <w:tr>
        <w:trPr>
          <w:cantSplit/>
        </w:trPr>
        <w:tc>
          <w:tcPr>
            <w:tcW w:type="dxa" w:w="794"/>
            <w:tcMar>
              <w:top w:w="50" w:type="dxa"/>
              <w:bottom w:w="50" w:type="dxa"/>
              <w:left w:w="80" w:type="dxa"/>
              <w:right w:w="80" w:type="dxa"/>
            </w:tcMar>
            <w:vAlign w:val="center"/>
            <w:shd w:fill="F8F4EB"/>
          </w:tcPr>
          <w:p>
            <w:pPr>
              <w:spacing w:after="0" w:before="0" w:line="240" w:lineRule="auto"/>
              <w:jc w:val="left"/>
            </w:pPr>
            <w:r/>
            <w:r>
              <w:rPr>
                <w:b/>
                <w:color w:val="14213D"/>
                <w:sz w:val="15"/>
              </w:rPr>
              <w:t>10Y</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3.93</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3.39</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5"/>
              </w:rPr>
              <w:t>-54.0</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-74.7</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+15.5</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+4.8</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-54.4</w:t>
            </w:r>
          </w:p>
        </w:tc>
        <w:tc>
          <w:tcPr>
            <w:tcW w:type="dxa" w:w="1020"/>
            <w:tcMar>
              <w:top w:w="50" w:type="dxa"/>
              <w:bottom w:w="50" w:type="dxa"/>
              <w:left w:w="80" w:type="dxa"/>
              <w:right w:w="80" w:type="dxa"/>
            </w:tcMar>
            <w:vAlign w:val="center"/>
            <w:shd w:fill="F8F4EB"/>
          </w:tcPr>
          <w:p>
            <w:pPr>
              <w:spacing w:after="0" w:before="0" w:line="240" w:lineRule="auto"/>
              <w:jc w:val="right"/>
            </w:pPr>
            <w:r/>
            <w:r>
              <w:rPr>
                <w:color w:val="14213D"/>
                <w:sz w:val="15"/>
              </w:rPr>
              <w:t>+0.4</w:t>
            </w:r>
          </w:p>
        </w:tc>
      </w:tr>
      <w:tr>
        <w:trPr>
          <w:cantSplit/>
        </w:trPr>
        <w:tc>
          <w:tcPr>
            <w:tcW w:type="dxa" w:w="794"/>
            <w:tcMar>
              <w:top w:w="50" w:type="dxa"/>
              <w:bottom w:w="50" w:type="dxa"/>
              <w:left w:w="80" w:type="dxa"/>
              <w:right w:w="80" w:type="dxa"/>
            </w:tcMar>
            <w:vAlign w:val="center"/>
          </w:tcPr>
          <w:p>
            <w:pPr>
              <w:spacing w:after="0" w:before="0" w:line="240" w:lineRule="auto"/>
              <w:jc w:val="left"/>
            </w:pPr>
            <w:r/>
            <w:r>
              <w:rPr>
                <w:b/>
                <w:color w:val="14213D"/>
                <w:sz w:val="15"/>
              </w:rPr>
              <w:t>20Y</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4.09</w:t>
            </w:r>
          </w:p>
        </w:tc>
        <w:tc>
          <w:tcPr>
            <w:tcW w:type="dxa" w:w="964"/>
            <w:tcMar>
              <w:top w:w="50" w:type="dxa"/>
              <w:bottom w:w="50" w:type="dxa"/>
              <w:left w:w="80" w:type="dxa"/>
              <w:right w:w="80" w:type="dxa"/>
            </w:tcMar>
            <w:vAlign w:val="center"/>
          </w:tcPr>
          <w:p>
            <w:pPr>
              <w:spacing w:after="0" w:before="0" w:line="240" w:lineRule="auto"/>
              <w:jc w:val="right"/>
            </w:pPr>
            <w:r/>
            <w:r>
              <w:rPr>
                <w:color w:val="14213D"/>
                <w:sz w:val="15"/>
              </w:rPr>
              <w:t>3.76</w:t>
            </w:r>
          </w:p>
        </w:tc>
        <w:tc>
          <w:tcPr>
            <w:tcW w:type="dxa" w:w="907"/>
            <w:tcMar>
              <w:top w:w="50" w:type="dxa"/>
              <w:bottom w:w="50" w:type="dxa"/>
              <w:left w:w="80" w:type="dxa"/>
              <w:right w:w="80" w:type="dxa"/>
            </w:tcMar>
            <w:vAlign w:val="center"/>
          </w:tcPr>
          <w:p>
            <w:pPr>
              <w:spacing w:after="0" w:before="0" w:line="240" w:lineRule="auto"/>
              <w:jc w:val="right"/>
            </w:pPr>
            <w:r/>
            <w:r>
              <w:rPr>
                <w:color w:val="14213D"/>
                <w:sz w:val="15"/>
              </w:rPr>
              <w:t>-33.0</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-64.5</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+21.0</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+13.4</w:t>
            </w:r>
          </w:p>
        </w:tc>
        <w:tc>
          <w:tcPr>
            <w:tcW w:type="dxa" w:w="1077"/>
            <w:tcMar>
              <w:top w:w="50" w:type="dxa"/>
              <w:bottom w:w="50" w:type="dxa"/>
              <w:left w:w="80" w:type="dxa"/>
              <w:right w:w="80" w:type="dxa"/>
            </w:tcMar>
            <w:vAlign w:val="center"/>
          </w:tcPr>
          <w:p>
            <w:pPr>
              <w:spacing w:after="0" w:before="0" w:line="240" w:lineRule="auto"/>
              <w:jc w:val="right"/>
            </w:pPr>
            <w:r/>
            <w:r>
              <w:rPr>
                <w:color w:val="14213D"/>
                <w:sz w:val="15"/>
              </w:rPr>
              <w:t>-30.1</w:t>
            </w:r>
          </w:p>
        </w:tc>
        <w:tc>
          <w:tcPr>
            <w:tcW w:type="dxa" w:w="1020"/>
            <w:tcMar>
              <w:top w:w="50" w:type="dxa"/>
              <w:bottom w:w="50" w:type="dxa"/>
              <w:left w:w="80" w:type="dxa"/>
              <w:right w:w="80" w:type="dxa"/>
            </w:tcMar>
            <w:vAlign w:val="center"/>
          </w:tcPr>
          <w:p>
            <w:pPr>
              <w:spacing w:after="0" w:before="0" w:line="240" w:lineRule="auto"/>
              <w:jc w:val="right"/>
            </w:pPr>
            <w:r/>
            <w:r>
              <w:rPr>
                <w:color w:val="14213D"/>
                <w:sz w:val="15"/>
              </w:rPr>
              <w:t>-2.9</w:t>
            </w:r>
          </w:p>
        </w:tc>
      </w:tr>
      <w:tr>
        <w:trPr>
          <w:cantSplit/>
        </w:trPr>
        <w:tc>
          <w:tcPr>
            <w:tcW w:type="dxa" w:w="794"/>
            <w:tcMar>
              <w:top w:w="50" w:type="dxa"/>
              <w:bottom w:w="50" w:type="dxa"/>
              <w:left w:w="80" w:type="dxa"/>
              <w:right w:w="80" w:type="dxa"/>
            </w:tcMar>
            <w:vAlign w:val="center"/>
            <w:shd w:fill="F8F4EB"/>
          </w:tcPr>
          <w:p>
            <w:pPr>
              <w:spacing w:after="0" w:before="0" w:line="240" w:lineRule="auto"/>
              <w:jc w:val="left"/>
            </w:pPr>
            <w:r/>
            <w:r>
              <w:rPr>
                <w:b/>
                <w:color w:val="14213D"/>
                <w:sz w:val="15"/>
              </w:rPr>
              <w:t>30Y</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3.88</w:t>
            </w:r>
          </w:p>
        </w:tc>
        <w:tc>
          <w:tcPr>
            <w:tcW w:type="dxa" w:w="964"/>
            <w:tcMar>
              <w:top w:w="50" w:type="dxa"/>
              <w:bottom w:w="50" w:type="dxa"/>
              <w:left w:w="80" w:type="dxa"/>
              <w:right w:w="80" w:type="dxa"/>
            </w:tcMar>
            <w:vAlign w:val="center"/>
            <w:shd w:fill="F8F4EB"/>
          </w:tcPr>
          <w:p>
            <w:pPr>
              <w:spacing w:after="0" w:before="0" w:line="240" w:lineRule="auto"/>
              <w:jc w:val="right"/>
            </w:pPr>
            <w:r/>
            <w:r>
              <w:rPr>
                <w:color w:val="14213D"/>
                <w:sz w:val="15"/>
              </w:rPr>
              <w:t>3.60</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5"/>
              </w:rPr>
              <w:t>-28.0</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-60.5</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+20.8</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+15.3</w:t>
            </w:r>
          </w:p>
        </w:tc>
        <w:tc>
          <w:tcPr>
            <w:tcW w:type="dxa" w:w="1077"/>
            <w:tcMar>
              <w:top w:w="50" w:type="dxa"/>
              <w:bottom w:w="50" w:type="dxa"/>
              <w:left w:w="80" w:type="dxa"/>
              <w:right w:w="80" w:type="dxa"/>
            </w:tcMar>
            <w:vAlign w:val="center"/>
            <w:shd w:fill="F8F4EB"/>
          </w:tcPr>
          <w:p>
            <w:pPr>
              <w:spacing w:after="0" w:before="0" w:line="240" w:lineRule="auto"/>
              <w:jc w:val="right"/>
            </w:pPr>
            <w:r/>
            <w:r>
              <w:rPr>
                <w:color w:val="14213D"/>
                <w:sz w:val="15"/>
              </w:rPr>
              <w:t>-24.4</w:t>
            </w:r>
          </w:p>
        </w:tc>
        <w:tc>
          <w:tcPr>
            <w:tcW w:type="dxa" w:w="1020"/>
            <w:tcMar>
              <w:top w:w="50" w:type="dxa"/>
              <w:bottom w:w="50" w:type="dxa"/>
              <w:left w:w="80" w:type="dxa"/>
              <w:right w:w="80" w:type="dxa"/>
            </w:tcMar>
            <w:vAlign w:val="center"/>
            <w:shd w:fill="F8F4EB"/>
          </w:tcPr>
          <w:p>
            <w:pPr>
              <w:spacing w:after="0" w:before="0" w:line="240" w:lineRule="auto"/>
              <w:jc w:val="right"/>
            </w:pPr>
            <w:r/>
            <w:r>
              <w:rPr>
                <w:color w:val="14213D"/>
                <w:sz w:val="15"/>
              </w:rPr>
              <w:t>-3.6</w:t>
            </w:r>
          </w:p>
        </w:tc>
      </w:tr>
    </w:tbl>
    <w:p>
      <w:pPr>
        <w:spacing w:before="40" w:after="20"/>
      </w:pPr>
      <w:r>
        <w:rPr>
          <w:i/>
          <w:color w:val="7A8291"/>
          <w:sz w:val="16"/>
        </w:rPr>
        <w:t>Table 2. Yields and the 3-factor decomposition, 9 → 17 March 2023 (bp).</w:t>
      </w:r>
    </w:p>
    <w:p>
      <w:pPr>
        <w:spacing w:before="0" w:after="180"/>
      </w:pPr>
      <w:r>
        <w:rPr>
          <w:color w:val="7A8291"/>
          <w:sz w:val="15"/>
        </w:rPr>
        <w:t>PC1/PC2/PC3 columns are loading × score. Fit is their sum; residual is actual minus fit. Rows may not add exactly because of rounding.</w:t>
      </w:r>
    </w:p>
    <w:p>
      <w:pPr>
        <w:spacing w:after="100" w:line="271" w:lineRule="auto"/>
      </w:pPr>
      <w:r>
        <w:rPr>
          <w:i w:val="0"/>
          <w:color w:val="2D3648"/>
          <w:sz w:val="20"/>
        </w:rPr>
        <w:t>The factor scores are large because they are cumulative over six sessions. PC1 is −208 bp, or −14.0 daily standard deviations. PC2 is +66.5 bp (+7.6σ), and PC3 is +39.4 bp (+10.0σ). The score magnitudes should not be read as one-day shocks: a −14σ move over a week is unusual but not impossible when the level factor is measured on daily changes.</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907"/>
        <w:gridCol w:w="907"/>
        <w:gridCol w:w="907"/>
        <w:gridCol w:w="1928"/>
        <w:gridCol w:w="1361"/>
        <w:gridCol w:w="1531"/>
        <w:gridCol w:w="1644"/>
      </w:tblGrid>
      <w:tr>
        <w:trPr>
          <w:tblHeader w:val="true"/>
        </w:trPr>
        <w:tc>
          <w:tcPr>
            <w:tcW w:type="dxa" w:w="907"/>
            <w:shd w:fill="14213D"/>
            <w:tcMar>
              <w:top w:w="50" w:type="dxa"/>
              <w:bottom w:w="50" w:type="dxa"/>
              <w:left w:w="80" w:type="dxa"/>
              <w:right w:w="80" w:type="dxa"/>
            </w:tcMar>
            <w:vAlign w:val="center"/>
          </w:tcPr>
          <w:p>
            <w:pPr>
              <w:jc w:val="left"/>
            </w:pPr>
            <w:r/>
            <w:r>
              <w:rPr>
                <w:b/>
                <w:color w:val="FFFFFF"/>
                <w:sz w:val="16"/>
              </w:rPr>
              <w:t>Factor</w:t>
            </w:r>
          </w:p>
        </w:tc>
        <w:tc>
          <w:tcPr>
            <w:tcW w:type="dxa" w:w="907"/>
            <w:shd w:fill="14213D"/>
            <w:tcMar>
              <w:top w:w="50" w:type="dxa"/>
              <w:bottom w:w="50" w:type="dxa"/>
              <w:left w:w="80" w:type="dxa"/>
              <w:right w:w="80" w:type="dxa"/>
            </w:tcMar>
            <w:vAlign w:val="center"/>
          </w:tcPr>
          <w:p>
            <w:pPr>
              <w:jc w:val="right"/>
            </w:pPr>
            <w:r/>
            <w:r>
              <w:rPr>
                <w:b/>
                <w:color w:val="FFFFFF"/>
                <w:sz w:val="16"/>
              </w:rPr>
              <w:t>Score</w:t>
            </w:r>
          </w:p>
        </w:tc>
        <w:tc>
          <w:tcPr>
            <w:tcW w:type="dxa" w:w="907"/>
            <w:shd w:fill="14213D"/>
            <w:tcMar>
              <w:top w:w="50" w:type="dxa"/>
              <w:bottom w:w="50" w:type="dxa"/>
              <w:left w:w="80" w:type="dxa"/>
              <w:right w:w="80" w:type="dxa"/>
            </w:tcMar>
            <w:vAlign w:val="center"/>
          </w:tcPr>
          <w:p>
            <w:pPr>
              <w:jc w:val="right"/>
            </w:pPr>
            <w:r/>
            <w:r>
              <w:rPr>
                <w:b/>
                <w:color w:val="FFFFFF"/>
                <w:sz w:val="16"/>
              </w:rPr>
              <w:t>Size</w:t>
            </w:r>
          </w:p>
        </w:tc>
        <w:tc>
          <w:tcPr>
            <w:tcW w:type="dxa" w:w="1928"/>
            <w:shd w:fill="14213D"/>
            <w:tcMar>
              <w:top w:w="50" w:type="dxa"/>
              <w:bottom w:w="50" w:type="dxa"/>
              <w:left w:w="80" w:type="dxa"/>
              <w:right w:w="80" w:type="dxa"/>
            </w:tcMar>
            <w:vAlign w:val="center"/>
          </w:tcPr>
          <w:p>
            <w:pPr>
              <w:jc w:val="right"/>
            </w:pPr>
            <w:r/>
            <w:r>
              <w:rPr>
                <w:b/>
                <w:color w:val="FFFFFF"/>
                <w:sz w:val="16"/>
              </w:rPr>
              <w:t>Share of squared Δy</w:t>
            </w:r>
          </w:p>
        </w:tc>
        <w:tc>
          <w:tcPr>
            <w:tcW w:type="dxa" w:w="1361"/>
            <w:shd w:fill="14213D"/>
            <w:tcMar>
              <w:top w:w="50" w:type="dxa"/>
              <w:bottom w:w="50" w:type="dxa"/>
              <w:left w:w="80" w:type="dxa"/>
              <w:right w:w="80" w:type="dxa"/>
            </w:tcMar>
            <w:vAlign w:val="center"/>
          </w:tcPr>
          <w:p>
            <w:pPr>
              <w:jc w:val="right"/>
            </w:pPr>
            <w:r/>
            <w:r>
              <w:rPr>
                <w:b/>
                <w:color w:val="FFFFFF"/>
                <w:sz w:val="16"/>
              </w:rPr>
              <w:t>10Y contrib.</w:t>
            </w:r>
          </w:p>
        </w:tc>
        <w:tc>
          <w:tcPr>
            <w:tcW w:type="dxa" w:w="1531"/>
            <w:shd w:fill="14213D"/>
            <w:tcMar>
              <w:top w:w="50" w:type="dxa"/>
              <w:bottom w:w="50" w:type="dxa"/>
              <w:left w:w="80" w:type="dxa"/>
              <w:right w:w="80" w:type="dxa"/>
            </w:tcMar>
            <w:vAlign w:val="center"/>
          </w:tcPr>
          <w:p>
            <w:pPr>
              <w:jc w:val="right"/>
            </w:pPr>
            <w:r/>
            <w:r>
              <w:rPr>
                <w:b/>
                <w:color w:val="FFFFFF"/>
                <w:sz w:val="16"/>
              </w:rPr>
              <w:t>2s10s contrib.</w:t>
            </w:r>
          </w:p>
        </w:tc>
        <w:tc>
          <w:tcPr>
            <w:tcW w:type="dxa" w:w="1644"/>
            <w:shd w:fill="14213D"/>
            <w:tcMar>
              <w:top w:w="50" w:type="dxa"/>
              <w:bottom w:w="50" w:type="dxa"/>
              <w:left w:w="80" w:type="dxa"/>
              <w:right w:w="80" w:type="dxa"/>
            </w:tcMar>
            <w:vAlign w:val="center"/>
          </w:tcPr>
          <w:p>
            <w:pPr>
              <w:jc w:val="right"/>
            </w:pPr>
            <w:r/>
            <w:r>
              <w:rPr>
                <w:b/>
                <w:color w:val="FFFFFF"/>
                <w:sz w:val="16"/>
              </w:rPr>
              <w:t>5Y fly contrib.</w:t>
            </w:r>
          </w:p>
        </w:tc>
      </w:tr>
      <w:tr>
        <w:trPr>
          <w:cantSplit/>
        </w:trPr>
        <w:tc>
          <w:tcPr>
            <w:tcW w:type="dxa" w:w="907"/>
            <w:tcMar>
              <w:top w:w="50" w:type="dxa"/>
              <w:bottom w:w="50" w:type="dxa"/>
              <w:left w:w="80" w:type="dxa"/>
              <w:right w:w="80" w:type="dxa"/>
            </w:tcMar>
            <w:vAlign w:val="center"/>
          </w:tcPr>
          <w:p>
            <w:pPr>
              <w:spacing w:after="0" w:before="0" w:line="240" w:lineRule="auto"/>
              <w:jc w:val="left"/>
            </w:pPr>
            <w:r/>
            <w:r>
              <w:rPr>
                <w:b/>
                <w:color w:val="14213D"/>
                <w:sz w:val="16"/>
              </w:rPr>
              <w:t>PC1</w:t>
            </w:r>
          </w:p>
        </w:tc>
        <w:tc>
          <w:tcPr>
            <w:tcW w:type="dxa" w:w="907"/>
            <w:tcMar>
              <w:top w:w="50" w:type="dxa"/>
              <w:bottom w:w="50" w:type="dxa"/>
              <w:left w:w="80" w:type="dxa"/>
              <w:right w:w="80" w:type="dxa"/>
            </w:tcMar>
            <w:vAlign w:val="center"/>
          </w:tcPr>
          <w:p>
            <w:pPr>
              <w:spacing w:after="0" w:before="0" w:line="240" w:lineRule="auto"/>
              <w:jc w:val="right"/>
            </w:pPr>
            <w:r/>
            <w:r>
              <w:rPr>
                <w:color w:val="14213D"/>
                <w:sz w:val="16"/>
              </w:rPr>
              <w:t>-208.4</w:t>
            </w:r>
          </w:p>
        </w:tc>
        <w:tc>
          <w:tcPr>
            <w:tcW w:type="dxa" w:w="907"/>
            <w:tcMar>
              <w:top w:w="50" w:type="dxa"/>
              <w:bottom w:w="50" w:type="dxa"/>
              <w:left w:w="80" w:type="dxa"/>
              <w:right w:w="80" w:type="dxa"/>
            </w:tcMar>
            <w:vAlign w:val="center"/>
          </w:tcPr>
          <w:p>
            <w:pPr>
              <w:spacing w:after="0" w:before="0" w:line="240" w:lineRule="auto"/>
              <w:jc w:val="right"/>
            </w:pPr>
            <w:r/>
            <w:r>
              <w:rPr>
                <w:color w:val="14213D"/>
                <w:sz w:val="16"/>
              </w:rPr>
              <w:t>-14.0σ</w:t>
            </w:r>
          </w:p>
        </w:tc>
        <w:tc>
          <w:tcPr>
            <w:tcW w:type="dxa" w:w="1928"/>
            <w:tcMar>
              <w:top w:w="50" w:type="dxa"/>
              <w:bottom w:w="50" w:type="dxa"/>
              <w:left w:w="80" w:type="dxa"/>
              <w:right w:w="80" w:type="dxa"/>
            </w:tcMar>
            <w:vAlign w:val="center"/>
          </w:tcPr>
          <w:p>
            <w:pPr>
              <w:spacing w:after="0" w:before="0" w:line="240" w:lineRule="auto"/>
              <w:jc w:val="right"/>
            </w:pPr>
            <w:r/>
            <w:r>
              <w:rPr>
                <w:color w:val="14213D"/>
                <w:sz w:val="16"/>
              </w:rPr>
              <w:t>87.3%</w:t>
            </w:r>
          </w:p>
        </w:tc>
        <w:tc>
          <w:tcPr>
            <w:tcW w:type="dxa" w:w="1361"/>
            <w:tcMar>
              <w:top w:w="50" w:type="dxa"/>
              <w:bottom w:w="50" w:type="dxa"/>
              <w:left w:w="80" w:type="dxa"/>
              <w:right w:w="80" w:type="dxa"/>
            </w:tcMar>
            <w:vAlign w:val="center"/>
          </w:tcPr>
          <w:p>
            <w:pPr>
              <w:spacing w:after="0" w:before="0" w:line="240" w:lineRule="auto"/>
              <w:jc w:val="right"/>
            </w:pPr>
            <w:r/>
            <w:r>
              <w:rPr>
                <w:color w:val="14213D"/>
                <w:sz w:val="16"/>
              </w:rPr>
              <w:t>-74.7</w:t>
            </w:r>
          </w:p>
        </w:tc>
        <w:tc>
          <w:tcPr>
            <w:tcW w:type="dxa" w:w="1531"/>
            <w:tcMar>
              <w:top w:w="50" w:type="dxa"/>
              <w:bottom w:w="50" w:type="dxa"/>
              <w:left w:w="80" w:type="dxa"/>
              <w:right w:w="80" w:type="dxa"/>
            </w:tcMar>
            <w:vAlign w:val="center"/>
          </w:tcPr>
          <w:p>
            <w:pPr>
              <w:spacing w:after="0" w:before="0" w:line="240" w:lineRule="auto"/>
              <w:jc w:val="right"/>
            </w:pPr>
            <w:r/>
            <w:r>
              <w:rPr>
                <w:color w:val="14213D"/>
                <w:sz w:val="16"/>
              </w:rPr>
              <w:t>-3.8</w:t>
            </w:r>
          </w:p>
        </w:tc>
        <w:tc>
          <w:tcPr>
            <w:tcW w:type="dxa" w:w="1644"/>
            <w:tcMar>
              <w:top w:w="50" w:type="dxa"/>
              <w:bottom w:w="50" w:type="dxa"/>
              <w:left w:w="80" w:type="dxa"/>
              <w:right w:w="80" w:type="dxa"/>
            </w:tcMar>
            <w:vAlign w:val="center"/>
          </w:tcPr>
          <w:p>
            <w:pPr>
              <w:spacing w:after="0" w:before="0" w:line="240" w:lineRule="auto"/>
              <w:jc w:val="right"/>
            </w:pPr>
            <w:r/>
            <w:r>
              <w:rPr>
                <w:color w:val="14213D"/>
                <w:sz w:val="16"/>
              </w:rPr>
              <w:t>-15.7</w:t>
            </w:r>
          </w:p>
        </w:tc>
      </w:tr>
      <w:tr>
        <w:trPr>
          <w:cantSplit/>
        </w:trPr>
        <w:tc>
          <w:tcPr>
            <w:tcW w:type="dxa" w:w="907"/>
            <w:tcMar>
              <w:top w:w="50" w:type="dxa"/>
              <w:bottom w:w="50" w:type="dxa"/>
              <w:left w:w="80" w:type="dxa"/>
              <w:right w:w="80" w:type="dxa"/>
            </w:tcMar>
            <w:vAlign w:val="center"/>
            <w:shd w:fill="F8F4EB"/>
          </w:tcPr>
          <w:p>
            <w:pPr>
              <w:spacing w:after="0" w:before="0" w:line="240" w:lineRule="auto"/>
              <w:jc w:val="left"/>
            </w:pPr>
            <w:r/>
            <w:r>
              <w:rPr>
                <w:b/>
                <w:color w:val="14213D"/>
                <w:sz w:val="16"/>
              </w:rPr>
              <w:t>PC2</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6"/>
              </w:rPr>
              <w:t>+66.5</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6"/>
              </w:rPr>
              <w:t>+7.6σ</w:t>
            </w:r>
          </w:p>
        </w:tc>
        <w:tc>
          <w:tcPr>
            <w:tcW w:type="dxa" w:w="1928"/>
            <w:tcMar>
              <w:top w:w="50" w:type="dxa"/>
              <w:bottom w:w="50" w:type="dxa"/>
              <w:left w:w="80" w:type="dxa"/>
              <w:right w:w="80" w:type="dxa"/>
            </w:tcMar>
            <w:vAlign w:val="center"/>
            <w:shd w:fill="F8F4EB"/>
          </w:tcPr>
          <w:p>
            <w:pPr>
              <w:spacing w:after="0" w:before="0" w:line="240" w:lineRule="auto"/>
              <w:jc w:val="right"/>
            </w:pPr>
            <w:r/>
            <w:r>
              <w:rPr>
                <w:color w:val="14213D"/>
                <w:sz w:val="16"/>
              </w:rPr>
              <w:t>8.9%</w:t>
            </w:r>
          </w:p>
        </w:tc>
        <w:tc>
          <w:tcPr>
            <w:tcW w:type="dxa" w:w="1361"/>
            <w:tcMar>
              <w:top w:w="50" w:type="dxa"/>
              <w:bottom w:w="50" w:type="dxa"/>
              <w:left w:w="80" w:type="dxa"/>
              <w:right w:w="80" w:type="dxa"/>
            </w:tcMar>
            <w:vAlign w:val="center"/>
            <w:shd w:fill="F8F4EB"/>
          </w:tcPr>
          <w:p>
            <w:pPr>
              <w:spacing w:after="0" w:before="0" w:line="240" w:lineRule="auto"/>
              <w:jc w:val="right"/>
            </w:pPr>
            <w:r/>
            <w:r>
              <w:rPr>
                <w:color w:val="14213D"/>
                <w:sz w:val="16"/>
              </w:rPr>
              <w:t>+15.5</w:t>
            </w:r>
          </w:p>
        </w:tc>
        <w:tc>
          <w:tcPr>
            <w:tcW w:type="dxa" w:w="1531"/>
            <w:tcMar>
              <w:top w:w="50" w:type="dxa"/>
              <w:bottom w:w="50" w:type="dxa"/>
              <w:left w:w="80" w:type="dxa"/>
              <w:right w:w="80" w:type="dxa"/>
            </w:tcMar>
            <w:vAlign w:val="center"/>
            <w:shd w:fill="F8F4EB"/>
          </w:tcPr>
          <w:p>
            <w:pPr>
              <w:spacing w:after="0" w:before="0" w:line="240" w:lineRule="auto"/>
              <w:jc w:val="right"/>
            </w:pPr>
            <w:r/>
            <w:r>
              <w:rPr>
                <w:color w:val="14213D"/>
                <w:sz w:val="16"/>
              </w:rPr>
              <w:t>+27.5</w:t>
            </w:r>
          </w:p>
        </w:tc>
        <w:tc>
          <w:tcPr>
            <w:tcW w:type="dxa" w:w="1644"/>
            <w:tcMar>
              <w:top w:w="50" w:type="dxa"/>
              <w:bottom w:w="50" w:type="dxa"/>
              <w:left w:w="80" w:type="dxa"/>
              <w:right w:w="80" w:type="dxa"/>
            </w:tcMar>
            <w:vAlign w:val="center"/>
            <w:shd w:fill="F8F4EB"/>
          </w:tcPr>
          <w:p>
            <w:pPr>
              <w:spacing w:after="0" w:before="0" w:line="240" w:lineRule="auto"/>
              <w:jc w:val="right"/>
            </w:pPr>
            <w:r/>
            <w:r>
              <w:rPr>
                <w:color w:val="14213D"/>
                <w:sz w:val="16"/>
              </w:rPr>
              <w:t>+9.2</w:t>
            </w:r>
          </w:p>
        </w:tc>
      </w:tr>
      <w:tr>
        <w:trPr>
          <w:cantSplit/>
        </w:trPr>
        <w:tc>
          <w:tcPr>
            <w:tcW w:type="dxa" w:w="907"/>
            <w:tcMar>
              <w:top w:w="50" w:type="dxa"/>
              <w:bottom w:w="50" w:type="dxa"/>
              <w:left w:w="80" w:type="dxa"/>
              <w:right w:w="80" w:type="dxa"/>
            </w:tcMar>
            <w:vAlign w:val="center"/>
          </w:tcPr>
          <w:p>
            <w:pPr>
              <w:spacing w:after="0" w:before="0" w:line="240" w:lineRule="auto"/>
              <w:jc w:val="left"/>
            </w:pPr>
            <w:r/>
            <w:r>
              <w:rPr>
                <w:b/>
                <w:color w:val="14213D"/>
                <w:sz w:val="16"/>
              </w:rPr>
              <w:t>PC3</w:t>
            </w:r>
          </w:p>
        </w:tc>
        <w:tc>
          <w:tcPr>
            <w:tcW w:type="dxa" w:w="907"/>
            <w:tcMar>
              <w:top w:w="50" w:type="dxa"/>
              <w:bottom w:w="50" w:type="dxa"/>
              <w:left w:w="80" w:type="dxa"/>
              <w:right w:w="80" w:type="dxa"/>
            </w:tcMar>
            <w:vAlign w:val="center"/>
          </w:tcPr>
          <w:p>
            <w:pPr>
              <w:spacing w:after="0" w:before="0" w:line="240" w:lineRule="auto"/>
              <w:jc w:val="right"/>
            </w:pPr>
            <w:r/>
            <w:r>
              <w:rPr>
                <w:color w:val="14213D"/>
                <w:sz w:val="16"/>
              </w:rPr>
              <w:t>+39.4</w:t>
            </w:r>
          </w:p>
        </w:tc>
        <w:tc>
          <w:tcPr>
            <w:tcW w:type="dxa" w:w="907"/>
            <w:tcMar>
              <w:top w:w="50" w:type="dxa"/>
              <w:bottom w:w="50" w:type="dxa"/>
              <w:left w:w="80" w:type="dxa"/>
              <w:right w:w="80" w:type="dxa"/>
            </w:tcMar>
            <w:vAlign w:val="center"/>
          </w:tcPr>
          <w:p>
            <w:pPr>
              <w:spacing w:after="0" w:before="0" w:line="240" w:lineRule="auto"/>
              <w:jc w:val="right"/>
            </w:pPr>
            <w:r/>
            <w:r>
              <w:rPr>
                <w:color w:val="14213D"/>
                <w:sz w:val="16"/>
              </w:rPr>
              <w:t>+10.0σ</w:t>
            </w:r>
          </w:p>
        </w:tc>
        <w:tc>
          <w:tcPr>
            <w:tcW w:type="dxa" w:w="1928"/>
            <w:tcMar>
              <w:top w:w="50" w:type="dxa"/>
              <w:bottom w:w="50" w:type="dxa"/>
              <w:left w:w="80" w:type="dxa"/>
              <w:right w:w="80" w:type="dxa"/>
            </w:tcMar>
            <w:vAlign w:val="center"/>
          </w:tcPr>
          <w:p>
            <w:pPr>
              <w:spacing w:after="0" w:before="0" w:line="240" w:lineRule="auto"/>
              <w:jc w:val="right"/>
            </w:pPr>
            <w:r/>
            <w:r>
              <w:rPr>
                <w:color w:val="14213D"/>
                <w:sz w:val="16"/>
              </w:rPr>
              <w:t>3.1%</w:t>
            </w:r>
          </w:p>
        </w:tc>
        <w:tc>
          <w:tcPr>
            <w:tcW w:type="dxa" w:w="1361"/>
            <w:tcMar>
              <w:top w:w="50" w:type="dxa"/>
              <w:bottom w:w="50" w:type="dxa"/>
              <w:left w:w="80" w:type="dxa"/>
              <w:right w:w="80" w:type="dxa"/>
            </w:tcMar>
            <w:vAlign w:val="center"/>
          </w:tcPr>
          <w:p>
            <w:pPr>
              <w:spacing w:after="0" w:before="0" w:line="240" w:lineRule="auto"/>
              <w:jc w:val="right"/>
            </w:pPr>
            <w:r/>
            <w:r>
              <w:rPr>
                <w:color w:val="14213D"/>
                <w:sz w:val="16"/>
              </w:rPr>
              <w:t>+4.8</w:t>
            </w:r>
          </w:p>
        </w:tc>
        <w:tc>
          <w:tcPr>
            <w:tcW w:type="dxa" w:w="1531"/>
            <w:tcMar>
              <w:top w:w="50" w:type="dxa"/>
              <w:bottom w:w="50" w:type="dxa"/>
              <w:left w:w="80" w:type="dxa"/>
              <w:right w:w="80" w:type="dxa"/>
            </w:tcMar>
            <w:vAlign w:val="center"/>
          </w:tcPr>
          <w:p>
            <w:pPr>
              <w:spacing w:after="0" w:before="0" w:line="240" w:lineRule="auto"/>
              <w:jc w:val="right"/>
            </w:pPr>
            <w:r/>
            <w:r>
              <w:rPr>
                <w:color w:val="14213D"/>
                <w:sz w:val="16"/>
              </w:rPr>
              <w:t>+21.4</w:t>
            </w:r>
          </w:p>
        </w:tc>
        <w:tc>
          <w:tcPr>
            <w:tcW w:type="dxa" w:w="1644"/>
            <w:tcMar>
              <w:top w:w="50" w:type="dxa"/>
              <w:bottom w:w="50" w:type="dxa"/>
              <w:left w:w="80" w:type="dxa"/>
              <w:right w:w="80" w:type="dxa"/>
            </w:tcMar>
            <w:vAlign w:val="center"/>
          </w:tcPr>
          <w:p>
            <w:pPr>
              <w:spacing w:after="0" w:before="0" w:line="240" w:lineRule="auto"/>
              <w:jc w:val="right"/>
            </w:pPr>
            <w:r/>
            <w:r>
              <w:rPr>
                <w:color w:val="14213D"/>
                <w:sz w:val="16"/>
              </w:rPr>
              <w:t>-3.6</w:t>
            </w:r>
          </w:p>
        </w:tc>
      </w:tr>
      <w:tr>
        <w:trPr>
          <w:cantSplit/>
        </w:trPr>
        <w:tc>
          <w:tcPr>
            <w:tcW w:type="dxa" w:w="907"/>
            <w:tcMar>
              <w:top w:w="50" w:type="dxa"/>
              <w:bottom w:w="50" w:type="dxa"/>
              <w:left w:w="80" w:type="dxa"/>
              <w:right w:w="80" w:type="dxa"/>
            </w:tcMar>
            <w:vAlign w:val="center"/>
            <w:shd w:fill="F8F4EB"/>
          </w:tcPr>
          <w:p>
            <w:pPr>
              <w:spacing w:after="0" w:before="0" w:line="240" w:lineRule="auto"/>
              <w:jc w:val="left"/>
            </w:pPr>
            <w:r/>
            <w:r>
              <w:rPr>
                <w:b/>
                <w:color w:val="14213D"/>
                <w:sz w:val="16"/>
              </w:rPr>
              <w:t>Residual</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6"/>
              </w:rPr>
              <w:t>—</w:t>
            </w:r>
          </w:p>
        </w:tc>
        <w:tc>
          <w:tcPr>
            <w:tcW w:type="dxa" w:w="907"/>
            <w:tcMar>
              <w:top w:w="50" w:type="dxa"/>
              <w:bottom w:w="50" w:type="dxa"/>
              <w:left w:w="80" w:type="dxa"/>
              <w:right w:w="80" w:type="dxa"/>
            </w:tcMar>
            <w:vAlign w:val="center"/>
            <w:shd w:fill="F8F4EB"/>
          </w:tcPr>
          <w:p>
            <w:pPr>
              <w:spacing w:after="0" w:before="0" w:line="240" w:lineRule="auto"/>
              <w:jc w:val="right"/>
            </w:pPr>
            <w:r/>
            <w:r>
              <w:rPr>
                <w:color w:val="14213D"/>
                <w:sz w:val="16"/>
              </w:rPr>
              <w:t>—</w:t>
            </w:r>
          </w:p>
        </w:tc>
        <w:tc>
          <w:tcPr>
            <w:tcW w:type="dxa" w:w="1928"/>
            <w:tcMar>
              <w:top w:w="50" w:type="dxa"/>
              <w:bottom w:w="50" w:type="dxa"/>
              <w:left w:w="80" w:type="dxa"/>
              <w:right w:w="80" w:type="dxa"/>
            </w:tcMar>
            <w:vAlign w:val="center"/>
            <w:shd w:fill="F8F4EB"/>
          </w:tcPr>
          <w:p>
            <w:pPr>
              <w:spacing w:after="0" w:before="0" w:line="240" w:lineRule="auto"/>
              <w:jc w:val="right"/>
            </w:pPr>
            <w:r/>
            <w:r>
              <w:rPr>
                <w:color w:val="14213D"/>
                <w:sz w:val="16"/>
              </w:rPr>
              <w:t>0.7%</w:t>
            </w:r>
          </w:p>
        </w:tc>
        <w:tc>
          <w:tcPr>
            <w:tcW w:type="dxa" w:w="1361"/>
            <w:tcMar>
              <w:top w:w="50" w:type="dxa"/>
              <w:bottom w:w="50" w:type="dxa"/>
              <w:left w:w="80" w:type="dxa"/>
              <w:right w:w="80" w:type="dxa"/>
            </w:tcMar>
            <w:vAlign w:val="center"/>
            <w:shd w:fill="F8F4EB"/>
          </w:tcPr>
          <w:p>
            <w:pPr>
              <w:spacing w:after="0" w:before="0" w:line="240" w:lineRule="auto"/>
              <w:jc w:val="right"/>
            </w:pPr>
            <w:r/>
            <w:r>
              <w:rPr>
                <w:color w:val="14213D"/>
                <w:sz w:val="16"/>
              </w:rPr>
              <w:t>+0.4</w:t>
            </w:r>
          </w:p>
        </w:tc>
        <w:tc>
          <w:tcPr>
            <w:tcW w:type="dxa" w:w="1531"/>
            <w:tcMar>
              <w:top w:w="50" w:type="dxa"/>
              <w:bottom w:w="50" w:type="dxa"/>
              <w:left w:w="80" w:type="dxa"/>
              <w:right w:w="80" w:type="dxa"/>
            </w:tcMar>
            <w:vAlign w:val="center"/>
            <w:shd w:fill="F8F4EB"/>
          </w:tcPr>
          <w:p>
            <w:pPr>
              <w:spacing w:after="0" w:before="0" w:line="240" w:lineRule="auto"/>
              <w:jc w:val="right"/>
            </w:pPr>
            <w:r/>
            <w:r>
              <w:rPr>
                <w:color w:val="14213D"/>
                <w:sz w:val="16"/>
              </w:rPr>
              <w:t>+9.9</w:t>
            </w:r>
          </w:p>
        </w:tc>
        <w:tc>
          <w:tcPr>
            <w:tcW w:type="dxa" w:w="1644"/>
            <w:tcMar>
              <w:top w:w="50" w:type="dxa"/>
              <w:bottom w:w="50" w:type="dxa"/>
              <w:left w:w="80" w:type="dxa"/>
              <w:right w:w="80" w:type="dxa"/>
            </w:tcMar>
            <w:vAlign w:val="center"/>
            <w:shd w:fill="F8F4EB"/>
          </w:tcPr>
          <w:p>
            <w:pPr>
              <w:spacing w:after="0" w:before="0" w:line="240" w:lineRule="auto"/>
              <w:jc w:val="right"/>
            </w:pPr>
            <w:r/>
            <w:r>
              <w:rPr>
                <w:color w:val="14213D"/>
                <w:sz w:val="16"/>
              </w:rPr>
              <w:t>+17.1</w:t>
            </w:r>
          </w:p>
        </w:tc>
      </w:tr>
      <w:tr>
        <w:trPr>
          <w:cantSplit/>
        </w:trPr>
        <w:tc>
          <w:tcPr>
            <w:tcW w:type="dxa" w:w="907"/>
            <w:tcMar>
              <w:top w:w="50" w:type="dxa"/>
              <w:bottom w:w="50" w:type="dxa"/>
              <w:left w:w="80" w:type="dxa"/>
              <w:right w:w="80" w:type="dxa"/>
            </w:tcMar>
            <w:vAlign w:val="center"/>
          </w:tcPr>
          <w:p>
            <w:pPr>
              <w:spacing w:after="0" w:before="0" w:line="240" w:lineRule="auto"/>
              <w:jc w:val="left"/>
            </w:pPr>
            <w:r/>
            <w:r>
              <w:rPr>
                <w:b/>
                <w:color w:val="14213D"/>
                <w:sz w:val="16"/>
              </w:rPr>
              <w:t>Actual</w:t>
            </w:r>
          </w:p>
        </w:tc>
        <w:tc>
          <w:tcPr>
            <w:tcW w:type="dxa" w:w="907"/>
            <w:tcMar>
              <w:top w:w="50" w:type="dxa"/>
              <w:bottom w:w="50" w:type="dxa"/>
              <w:left w:w="80" w:type="dxa"/>
              <w:right w:w="80" w:type="dxa"/>
            </w:tcMar>
            <w:vAlign w:val="center"/>
          </w:tcPr>
          <w:p>
            <w:pPr>
              <w:spacing w:after="0" w:before="0" w:line="240" w:lineRule="auto"/>
              <w:jc w:val="right"/>
            </w:pPr>
            <w:r/>
            <w:r>
              <w:rPr>
                <w:color w:val="14213D"/>
                <w:sz w:val="16"/>
              </w:rPr>
              <w:t>—</w:t>
            </w:r>
          </w:p>
        </w:tc>
        <w:tc>
          <w:tcPr>
            <w:tcW w:type="dxa" w:w="907"/>
            <w:tcMar>
              <w:top w:w="50" w:type="dxa"/>
              <w:bottom w:w="50" w:type="dxa"/>
              <w:left w:w="80" w:type="dxa"/>
              <w:right w:w="80" w:type="dxa"/>
            </w:tcMar>
            <w:vAlign w:val="center"/>
          </w:tcPr>
          <w:p>
            <w:pPr>
              <w:spacing w:after="0" w:before="0" w:line="240" w:lineRule="auto"/>
              <w:jc w:val="right"/>
            </w:pPr>
            <w:r/>
            <w:r>
              <w:rPr>
                <w:color w:val="14213D"/>
                <w:sz w:val="16"/>
              </w:rPr>
              <w:t>—</w:t>
            </w:r>
          </w:p>
        </w:tc>
        <w:tc>
          <w:tcPr>
            <w:tcW w:type="dxa" w:w="1928"/>
            <w:tcMar>
              <w:top w:w="50" w:type="dxa"/>
              <w:bottom w:w="50" w:type="dxa"/>
              <w:left w:w="80" w:type="dxa"/>
              <w:right w:w="80" w:type="dxa"/>
            </w:tcMar>
            <w:vAlign w:val="center"/>
          </w:tcPr>
          <w:p>
            <w:pPr>
              <w:spacing w:after="0" w:before="0" w:line="240" w:lineRule="auto"/>
              <w:jc w:val="right"/>
            </w:pPr>
            <w:r/>
            <w:r>
              <w:rPr>
                <w:color w:val="14213D"/>
                <w:sz w:val="16"/>
              </w:rPr>
              <w:t>100.0%</w:t>
            </w:r>
          </w:p>
        </w:tc>
        <w:tc>
          <w:tcPr>
            <w:tcW w:type="dxa" w:w="1361"/>
            <w:tcMar>
              <w:top w:w="50" w:type="dxa"/>
              <w:bottom w:w="50" w:type="dxa"/>
              <w:left w:w="80" w:type="dxa"/>
              <w:right w:w="80" w:type="dxa"/>
            </w:tcMar>
            <w:vAlign w:val="center"/>
          </w:tcPr>
          <w:p>
            <w:pPr>
              <w:spacing w:after="0" w:before="0" w:line="240" w:lineRule="auto"/>
              <w:jc w:val="right"/>
            </w:pPr>
            <w:r/>
            <w:r>
              <w:rPr>
                <w:color w:val="14213D"/>
                <w:sz w:val="16"/>
              </w:rPr>
              <w:t>-54.0</w:t>
            </w:r>
          </w:p>
        </w:tc>
        <w:tc>
          <w:tcPr>
            <w:tcW w:type="dxa" w:w="1531"/>
            <w:tcMar>
              <w:top w:w="50" w:type="dxa"/>
              <w:bottom w:w="50" w:type="dxa"/>
              <w:left w:w="80" w:type="dxa"/>
              <w:right w:w="80" w:type="dxa"/>
            </w:tcMar>
            <w:vAlign w:val="center"/>
          </w:tcPr>
          <w:p>
            <w:pPr>
              <w:spacing w:after="0" w:before="0" w:line="240" w:lineRule="auto"/>
              <w:jc w:val="right"/>
            </w:pPr>
            <w:r/>
            <w:r>
              <w:rPr>
                <w:color w:val="14213D"/>
                <w:sz w:val="16"/>
              </w:rPr>
              <w:t>+55.0</w:t>
            </w:r>
          </w:p>
        </w:tc>
        <w:tc>
          <w:tcPr>
            <w:tcW w:type="dxa" w:w="1644"/>
            <w:tcMar>
              <w:top w:w="50" w:type="dxa"/>
              <w:bottom w:w="50" w:type="dxa"/>
              <w:left w:w="80" w:type="dxa"/>
              <w:right w:w="80" w:type="dxa"/>
            </w:tcMar>
            <w:vAlign w:val="center"/>
          </w:tcPr>
          <w:p>
            <w:pPr>
              <w:spacing w:after="0" w:before="0" w:line="240" w:lineRule="auto"/>
              <w:jc w:val="right"/>
            </w:pPr>
            <w:r/>
            <w:r>
              <w:rPr>
                <w:color w:val="14213D"/>
                <w:sz w:val="16"/>
              </w:rPr>
              <w:t>+7.0</w:t>
            </w:r>
          </w:p>
        </w:tc>
      </w:tr>
    </w:tbl>
    <w:p>
      <w:pPr>
        <w:spacing w:before="40" w:after="20"/>
      </w:pPr>
      <w:r>
        <w:rPr>
          <w:i/>
          <w:color w:val="7A8291"/>
          <w:sz w:val="16"/>
        </w:rPr>
        <w:t>Table 3. Factor scores and their contributions to the 10Y yield, 2s10s and the 5Y butterfly (bp).</w:t>
      </w:r>
    </w:p>
    <w:p>
      <w:pPr>
        <w:spacing w:before="0" w:after="180"/>
      </w:pPr>
      <w:r>
        <w:rPr>
          <w:color w:val="7A8291"/>
          <w:sz w:val="15"/>
        </w:rPr>
        <w:t>Share is each factor’s squared contribution divided by the squared actual change vector. Residual is the part not explained by the three factors.</w:t>
      </w:r>
    </w:p>
    <w:p>
      <w:pPr>
        <w:spacing w:after="100" w:line="271" w:lineRule="auto"/>
      </w:pPr>
      <w:r>
        <w:rPr>
          <w:i w:val="0"/>
          <w:color w:val="2D3648"/>
          <w:sz w:val="20"/>
        </w:rPr>
        <w:t>There are two different “shares” in this report, and they answer different questions. The 67.9% in Table 1 is the share of sample variance explained by PC1 over 1993–2023. The 87.3% in Table 3 is the share of the squared yield changes in this particular event. The event is even more level-dominated than the average day: PC1 accounts for 87%, PC2 9% and PC3 3% of the raw squared changes, with 0.7% left in the residual.</w:t>
      </w:r>
    </w:p>
    <w:p>
      <w:pPr>
        <w:keepNext/>
        <w:spacing w:before="120" w:after="40"/>
        <w:jc w:val="center"/>
      </w:pPr>
      <w:r>
        <w:drawing>
          <wp:inline xmlns:a="http://schemas.openxmlformats.org/drawingml/2006/main" xmlns:pic="http://schemas.openxmlformats.org/drawingml/2006/picture">
            <wp:extent cx="5943600" cy="3808926"/>
            <wp:docPr id="4" name="Picture 4"/>
            <wp:cNvGraphicFramePr>
              <a:graphicFrameLocks noChangeAspect="1"/>
            </wp:cNvGraphicFramePr>
            <a:graphic>
              <a:graphicData uri="http://schemas.openxmlformats.org/drawingml/2006/picture">
                <pic:pic>
                  <pic:nvPicPr>
                    <pic:cNvPr id="0" name="fig_decomposition.png"/>
                    <pic:cNvPicPr/>
                  </pic:nvPicPr>
                  <pic:blipFill>
                    <a:blip r:embed="rId13"/>
                    <a:stretch>
                      <a:fillRect/>
                    </a:stretch>
                  </pic:blipFill>
                  <pic:spPr>
                    <a:xfrm>
                      <a:off x="0" y="0"/>
                      <a:ext cx="5943600" cy="3808926"/>
                    </a:xfrm>
                    <a:prstGeom prst="rect"/>
                  </pic:spPr>
                </pic:pic>
              </a:graphicData>
            </a:graphic>
          </wp:inline>
        </w:drawing>
      </w:r>
    </w:p>
    <w:p>
      <w:pPr>
        <w:spacing w:before="40" w:after="20"/>
      </w:pPr>
      <w:r>
        <w:rPr>
          <w:i/>
          <w:color w:val="7A8291"/>
          <w:sz w:val="16"/>
        </w:rPr>
        <w:t>Figure 3. The 3-factor decomposition by tenor. Blue is level, orange is slope and purple is curvature; the diamond is the actual change.</w:t>
      </w:r>
    </w:p>
    <w:p>
      <w:pPr>
        <w:spacing w:before="0" w:after="180"/>
      </w:pPr>
      <w:r>
        <w:rPr>
          <w:color w:val="7A8291"/>
          <w:sz w:val="15"/>
        </w:rPr>
        <w:t>A positive bar raises the yield; a negative bar lowers it. The 2Y residual is the largest miss.</w:t>
      </w:r>
    </w:p>
    <w:p>
      <w:pPr>
        <w:spacing w:after="100" w:line="271" w:lineRule="auto"/>
      </w:pPr>
      <w:r>
        <w:rPr>
          <w:i w:val="0"/>
          <w:color w:val="2D3648"/>
          <w:sz w:val="20"/>
        </w:rPr>
        <w:t>The slope decomposition is the most useful part. PC1 actually flattens 2s10s by 3.8 bp, because its belly loading is higher than its 10Y loading: a level rally pulls the 5Y down more than the 10Y. PC2 then adds 27.5 bp and PC3 adds 21.4 bp. The residual adds 9.9 bp. So the steepening is not a pure “slope factor” story: the twist also did a lot of work at the front end. This is why the 2Y residual is large.</w:t>
      </w:r>
    </w:p>
    <w:p>
      <w:pPr>
        <w:spacing w:after="100" w:line="271" w:lineRule="auto"/>
      </w:pPr>
      <w:r>
        <w:rPr>
          <w:i w:val="0"/>
          <w:color w:val="2D3648"/>
          <w:sz w:val="20"/>
        </w:rPr>
        <w:t>The 5Y butterfly decomposition is less clean. PC1 reduces the fly by 15.7 bp (the belly rallies more than the wings), PC2 adds 9.2 bp and PC3 subtracts 3.6 bp, leaving a 17.1 bp residual. The 3-factor model therefore captures the direction of the move but not the precise curvature. A 4th or 5th factor would reduce the residual only modestly; the front-end move is genuinely idiosyncratic relative to the long sample.</w:t>
      </w:r>
    </w:p>
    <w:p>
      <w:pPr>
        <w:keepNext/>
        <w:spacing w:before="120" w:after="40"/>
        <w:jc w:val="center"/>
      </w:pPr>
      <w:r>
        <w:drawing>
          <wp:inline xmlns:a="http://schemas.openxmlformats.org/drawingml/2006/main" xmlns:pic="http://schemas.openxmlformats.org/drawingml/2006/picture">
            <wp:extent cx="5943600" cy="3469593"/>
            <wp:docPr id="5" name="Picture 5"/>
            <wp:cNvGraphicFramePr>
              <a:graphicFrameLocks noChangeAspect="1"/>
            </wp:cNvGraphicFramePr>
            <a:graphic>
              <a:graphicData uri="http://schemas.openxmlformats.org/drawingml/2006/picture">
                <pic:pic>
                  <pic:nvPicPr>
                    <pic:cNvPr id="0" name="fig_scores.png"/>
                    <pic:cNvPicPr/>
                  </pic:nvPicPr>
                  <pic:blipFill>
                    <a:blip r:embed="rId14"/>
                    <a:stretch>
                      <a:fillRect/>
                    </a:stretch>
                  </pic:blipFill>
                  <pic:spPr>
                    <a:xfrm>
                      <a:off x="0" y="0"/>
                      <a:ext cx="5943600" cy="3469593"/>
                    </a:xfrm>
                    <a:prstGeom prst="rect"/>
                  </pic:spPr>
                </pic:pic>
              </a:graphicData>
            </a:graphic>
          </wp:inline>
        </w:drawing>
      </w:r>
    </w:p>
    <w:p>
      <w:pPr>
        <w:spacing w:before="40" w:after="20"/>
      </w:pPr>
      <w:r>
        <w:rPr>
          <w:i/>
          <w:color w:val="7A8291"/>
          <w:sz w:val="16"/>
        </w:rPr>
        <w:t>Figure 4. Cumulative factor scores during the event window, in daily standard deviations.</w:t>
      </w:r>
    </w:p>
    <w:p>
      <w:pPr>
        <w:spacing w:before="0" w:after="180"/>
      </w:pPr>
      <w:r>
        <w:rPr>
          <w:color w:val="7A8291"/>
          <w:sz w:val="15"/>
        </w:rPr>
        <w:t>The level factor falls almost monotonically; the slope factor jumps on 13 March and stays positive; the curvature factor spikes at the same time.</w:t>
      </w:r>
    </w:p>
    <w:p>
      <w:r>
        <w:br w:type="page"/>
      </w:r>
    </w:p>
    <w:p>
      <w:pPr>
        <w:spacing w:before="200" w:after="40"/>
      </w:pPr>
      <w:r>
        <w:rPr>
          <w:rFonts w:ascii="Calibri" w:hAnsi="Calibri"/>
          <w:b/>
          <w:color w:val="2F6FED"/>
          <w:sz w:val="16"/>
          <w:spacing w:val="28"/>
        </w:rPr>
        <w:t>A BANK SHOCK, A FED REPRICING AND A GLOBAL FLIGHT TO QUALITY</w:t>
      </w:r>
    </w:p>
    <w:p>
      <w:pPr>
        <w:pStyle w:val="Heading1"/>
        <w:keepNext/>
        <w:spacing w:before="0" w:after="160"/>
      </w:pPr>
      <w:r>
        <w:rPr>
          <w:rFonts w:ascii="Georgia" w:hAnsi="Georgia"/>
          <w:color w:val="2F6FED"/>
          <w:sz w:val="38"/>
        </w:rPr>
        <w:t xml:space="preserve">4  </w:t>
      </w:r>
      <w:r>
        <w:rPr>
          <w:rFonts w:ascii="Georgia" w:hAnsi="Georgia"/>
          <w:color w:val="14213D"/>
          <w:sz w:val="44"/>
        </w:rPr>
        <w:t>What was driving it?</w:t>
      </w:r>
    </w:p>
    <w:p>
      <w:pPr>
        <w:spacing w:before="0" w:after="180"/>
        <w:pBdr>
          <w:bottom w:val="single" w:sz="6" w:space="1" w:color="C9C1B2"/>
        </w:pBdr>
      </w:pPr>
    </w:p>
    <w:p>
      <w:pPr>
        <w:spacing w:after="100" w:line="271" w:lineRule="auto"/>
      </w:pPr>
      <w:r>
        <w:rPr>
          <w:i w:val="0"/>
          <w:color w:val="2D3648"/>
          <w:sz w:val="20"/>
        </w:rPr>
        <w:t>The PCA tells us the shape of the move. It does not tell us the news that caused it. The event window contains several overlapping shocks, and the timing of the daily moves helps identify them.</w:t>
      </w:r>
    </w:p>
    <w:p>
      <w:pPr>
        <w:keepNext/>
        <w:spacing w:before="120" w:after="40"/>
        <w:jc w:val="center"/>
      </w:pPr>
      <w:r>
        <w:drawing>
          <wp:inline xmlns:a="http://schemas.openxmlformats.org/drawingml/2006/main" xmlns:pic="http://schemas.openxmlformats.org/drawingml/2006/picture">
            <wp:extent cx="5943600" cy="2563738"/>
            <wp:docPr id="6" name="Picture 6"/>
            <wp:cNvGraphicFramePr>
              <a:graphicFrameLocks noChangeAspect="1"/>
            </wp:cNvGraphicFramePr>
            <a:graphic>
              <a:graphicData uri="http://schemas.openxmlformats.org/drawingml/2006/picture">
                <pic:pic>
                  <pic:nvPicPr>
                    <pic:cNvPr id="0" name="fig_market.png"/>
                    <pic:cNvPicPr/>
                  </pic:nvPicPr>
                  <pic:blipFill>
                    <a:blip r:embed="rId15"/>
                    <a:stretch>
                      <a:fillRect/>
                    </a:stretch>
                  </pic:blipFill>
                  <pic:spPr>
                    <a:xfrm>
                      <a:off x="0" y="0"/>
                      <a:ext cx="5943600" cy="2563738"/>
                    </a:xfrm>
                    <a:prstGeom prst="rect"/>
                  </pic:spPr>
                </pic:pic>
              </a:graphicData>
            </a:graphic>
          </wp:inline>
        </w:drawing>
      </w:r>
    </w:p>
    <w:p>
      <w:pPr>
        <w:spacing w:before="40" w:after="20"/>
      </w:pPr>
      <w:r>
        <w:rPr>
          <w:i/>
          <w:color w:val="7A8291"/>
          <w:sz w:val="16"/>
        </w:rPr>
        <w:t>Figure 5. The S&amp;P 500 and the VIX around the event. Equities were volatile but ended the week almost flat; volatility stayed elevated.</w:t>
      </w:r>
    </w:p>
    <w:p>
      <w:pPr>
        <w:spacing w:before="0" w:after="180"/>
      </w:pPr>
      <w:r>
        <w:rPr>
          <w:color w:val="7A8291"/>
          <w:sz w:val="15"/>
        </w:rPr>
        <w:t>Source: S&amp;P Dow Jones Indices via FRED; CBOE VIX historical data.</w:t>
      </w:r>
    </w:p>
    <w:p>
      <w:pPr>
        <w:pStyle w:val="Heading2"/>
        <w:keepNext/>
        <w:spacing w:before="240" w:after="80"/>
      </w:pPr>
      <w:r>
        <w:rPr>
          <w:rFonts w:ascii="Calibri" w:hAnsi="Calibri"/>
          <w:b/>
          <w:color w:val="2F6FED"/>
          <w:sz w:val="25"/>
        </w:rPr>
        <w:t>4.1  Flight to quality: SVB and the official backstop</w:t>
      </w:r>
    </w:p>
    <w:p>
      <w:pPr>
        <w:spacing w:after="100" w:line="271" w:lineRule="auto"/>
      </w:pPr>
      <w:r>
        <w:rPr>
          <w:i w:val="0"/>
          <w:color w:val="2D3648"/>
          <w:sz w:val="20"/>
        </w:rPr>
        <w:t>Silicon Valley Bank was closed by California regulators on 10 March 2023, and the FDIC was appointed receiver. On 12 March, the Treasury, the Federal Reserve and the FDIC announced that all depositors of SVB and Signature Bank would be made whole, and the Fed created the Bank Term Funding Program (BTFP) to provide liquidity against high-quality collateral. These actions reduced the risk of a systemic deposit run, but they did not remove the shock to bank funding and credit supply.</w:t>
      </w:r>
    </w:p>
    <w:p>
      <w:pPr>
        <w:spacing w:after="100" w:line="271" w:lineRule="auto"/>
      </w:pPr>
      <w:r>
        <w:rPr>
          <w:i w:val="0"/>
          <w:color w:val="2D3648"/>
          <w:sz w:val="20"/>
        </w:rPr>
        <w:t>The immediate market response was a large safety bid for Treasuries. Yields fell across the curve, which is the negative PC1 contribution. The front end fell more because it is most sensitive to the expected policy path and to the banking system’s demand for liquidity. That is the positive PC2 contribution. The long end fell less because inflation and fiscal risk did not disappear; the 30Y fell only 28 bp. This is the classic signature of a flight-to-quality rally that is concentrated at the front end.</w:t>
      </w:r>
    </w:p>
    <w:p>
      <w:pPr>
        <w:pStyle w:val="Heading2"/>
        <w:keepNext/>
        <w:spacing w:before="240" w:after="80"/>
      </w:pPr>
      <w:r>
        <w:rPr>
          <w:rFonts w:ascii="Calibri" w:hAnsi="Calibri"/>
          <w:b/>
          <w:color w:val="2F6FED"/>
          <w:sz w:val="25"/>
        </w:rPr>
        <w:t>4.2  The Fed path repriced</w:t>
      </w:r>
    </w:p>
    <w:p>
      <w:pPr>
        <w:spacing w:after="100" w:line="271" w:lineRule="auto"/>
      </w:pPr>
      <w:r>
        <w:rPr>
          <w:i w:val="0"/>
          <w:color w:val="2D3648"/>
          <w:sz w:val="20"/>
        </w:rPr>
        <w:t>Before the SVB failure, the market was still debating how high the Fed would go and how long it would hold. During the week, the 2Y yield — the closest liquid proxy for the expected policy path — fell 109 bp. That is much larger than the 54 bp fall at the 10Y. Investors moved from “higher for longer” toward “the hiking cycle is near its end, and cuts may come later in 2023.” The exact terminal-rate numbers are not needed to make the point: the relative move in the 2Y is the evidence.</w:t>
      </w:r>
    </w:p>
    <w:p>
      <w:pPr>
        <w:spacing w:after="100" w:line="271" w:lineRule="auto"/>
      </w:pPr>
      <w:r>
        <w:rPr>
          <w:i w:val="0"/>
          <w:color w:val="2D3648"/>
          <w:sz w:val="20"/>
        </w:rPr>
        <w:t>This is why the slope factor is positive even though the level factor is negative. A standard bear flattener (higher policy rates, long end anchored) has a negative PC2. A bull steepener (lower policy rates, long end anchored) has a positive PC2. March 2023 was the second kind.</w:t>
      </w:r>
    </w:p>
    <w:p>
      <w:pPr>
        <w:pStyle w:val="Heading2"/>
        <w:keepNext/>
        <w:spacing w:before="240" w:after="80"/>
      </w:pPr>
      <w:r>
        <w:rPr>
          <w:rFonts w:ascii="Calibri" w:hAnsi="Calibri"/>
          <w:b/>
          <w:color w:val="2F6FED"/>
          <w:sz w:val="25"/>
        </w:rPr>
        <w:t>4.3  Global bank stress and the ECB</w:t>
      </w:r>
    </w:p>
    <w:p>
      <w:pPr>
        <w:spacing w:after="100" w:line="271" w:lineRule="auto"/>
      </w:pPr>
      <w:r>
        <w:rPr>
          <w:i w:val="0"/>
          <w:color w:val="2D3648"/>
          <w:sz w:val="20"/>
        </w:rPr>
        <w:t>The stress became global on 15 March, when Credit Suisse’s shares fell sharply and the Swiss National Bank offered a liquidity backstop. The ECB raised rates by 50 bp on 16 March, but the bank-stress channel dominated the market reaction. The combination of a European bank scare and a central bank that was still hiking added to the demand for safe assets, while keeping the long end relatively anchored.</w:t>
      </w:r>
    </w:p>
    <w:p>
      <w:pPr>
        <w:spacing w:after="100" w:line="271" w:lineRule="auto"/>
      </w:pPr>
      <w:r>
        <w:rPr>
          <w:i w:val="0"/>
          <w:color w:val="2D3648"/>
          <w:sz w:val="20"/>
        </w:rPr>
        <w:t>The 14 March US CPI release was roughly in line (February CPI rose 0.4% m/m and 6.0% y/y). Yields actually rebounded a little that day as the first panic faded. That is useful: the data was not the main driver. The event was a financial-stability shock, not a pure inflation shock.</w:t>
      </w:r>
    </w:p>
    <w:p>
      <w:pPr>
        <w:pStyle w:val="Heading2"/>
        <w:keepNext/>
        <w:spacing w:before="240" w:after="80"/>
      </w:pPr>
      <w:r>
        <w:rPr>
          <w:rFonts w:ascii="Calibri" w:hAnsi="Calibri"/>
          <w:b/>
          <w:color w:val="2F6FED"/>
          <w:sz w:val="25"/>
        </w:rPr>
        <w:t>4.4  A short timeline</w:t>
      </w:r>
    </w:p>
    <w:p>
      <w:pPr>
        <w:pStyle w:val="ListBullet"/>
        <w:spacing w:after="60" w:line="264" w:lineRule="auto"/>
      </w:pPr>
      <w:r>
        <w:rPr>
          <w:b/>
          <w:color w:val="14213D"/>
          <w:sz w:val="19"/>
        </w:rPr>
        <w:t xml:space="preserve">9 Mar.  </w:t>
      </w:r>
      <w:r>
        <w:rPr>
          <w:color w:val="2D3648"/>
          <w:sz w:val="19"/>
        </w:rPr>
        <w:t>SVB’s capital raise fails; bank stocks weaken. 2Y 4.90%, 10Y 3.93%, VIX 22.6.</w:t>
      </w:r>
    </w:p>
    <w:p>
      <w:pPr>
        <w:pStyle w:val="ListBullet"/>
        <w:spacing w:after="60" w:line="264" w:lineRule="auto"/>
      </w:pPr>
      <w:r>
        <w:rPr>
          <w:b/>
          <w:color w:val="14213D"/>
          <w:sz w:val="19"/>
        </w:rPr>
        <w:t xml:space="preserve">10 Mar.  </w:t>
      </w:r>
      <w:r>
        <w:rPr>
          <w:color w:val="2D3648"/>
          <w:sz w:val="19"/>
        </w:rPr>
        <w:t>SVB is closed; FDIC appointed receiver. 2Y 4.60%, 10Y 3.70%.</w:t>
      </w:r>
    </w:p>
    <w:p>
      <w:pPr>
        <w:pStyle w:val="ListBullet"/>
        <w:spacing w:after="60" w:line="264" w:lineRule="auto"/>
      </w:pPr>
      <w:r>
        <w:rPr>
          <w:b/>
          <w:color w:val="14213D"/>
          <w:sz w:val="19"/>
        </w:rPr>
        <w:t xml:space="preserve">12 Mar.  </w:t>
      </w:r>
      <w:r>
        <w:rPr>
          <w:color w:val="2D3648"/>
          <w:sz w:val="19"/>
        </w:rPr>
        <w:t>Treasury/Fed/FDIC protect depositors; BTFP announced.</w:t>
      </w:r>
    </w:p>
    <w:p>
      <w:pPr>
        <w:pStyle w:val="ListBullet"/>
        <w:spacing w:after="60" w:line="264" w:lineRule="auto"/>
      </w:pPr>
      <w:r>
        <w:rPr>
          <w:b/>
          <w:color w:val="14213D"/>
          <w:sz w:val="19"/>
        </w:rPr>
        <w:t xml:space="preserve">13 Mar.  </w:t>
      </w:r>
      <w:r>
        <w:rPr>
          <w:color w:val="2D3648"/>
          <w:sz w:val="19"/>
        </w:rPr>
        <w:t>First trading day after the backstop. 2Y 4.03%, 10Y 3.55%, VIX peaks at 26.5.</w:t>
      </w:r>
    </w:p>
    <w:p>
      <w:pPr>
        <w:pStyle w:val="ListBullet"/>
        <w:spacing w:after="60" w:line="264" w:lineRule="auto"/>
      </w:pPr>
      <w:r>
        <w:rPr>
          <w:b/>
          <w:color w:val="14213D"/>
          <w:sz w:val="19"/>
        </w:rPr>
        <w:t xml:space="preserve">14 Mar.  </w:t>
      </w:r>
      <w:r>
        <w:rPr>
          <w:color w:val="2D3648"/>
          <w:sz w:val="19"/>
        </w:rPr>
        <w:t>February CPI roughly in line; yields rebound a little. 2Y 4.20%, 10Y 3.64%.</w:t>
      </w:r>
    </w:p>
    <w:p>
      <w:pPr>
        <w:pStyle w:val="ListBullet"/>
        <w:spacing w:after="60" w:line="264" w:lineRule="auto"/>
      </w:pPr>
      <w:r>
        <w:rPr>
          <w:b/>
          <w:color w:val="14213D"/>
          <w:sz w:val="19"/>
        </w:rPr>
        <w:t xml:space="preserve">15 Mar.  </w:t>
      </w:r>
      <w:r>
        <w:rPr>
          <w:color w:val="2D3648"/>
          <w:sz w:val="19"/>
        </w:rPr>
        <w:t>Credit Suisse crisis; SNB liquidity backstop. 2Y 3.93%, 10Y 3.51%.</w:t>
      </w:r>
    </w:p>
    <w:p>
      <w:pPr>
        <w:pStyle w:val="ListBullet"/>
        <w:spacing w:after="60" w:line="264" w:lineRule="auto"/>
      </w:pPr>
      <w:r>
        <w:rPr>
          <w:b/>
          <w:color w:val="14213D"/>
          <w:sz w:val="19"/>
        </w:rPr>
        <w:t xml:space="preserve">16 Mar.  </w:t>
      </w:r>
      <w:r>
        <w:rPr>
          <w:color w:val="2D3648"/>
          <w:sz w:val="19"/>
        </w:rPr>
        <w:t>ECB hikes 50 bp; bank stress dominates. 2Y 4.14%, 10Y 3.56%.</w:t>
      </w:r>
    </w:p>
    <w:p>
      <w:pPr>
        <w:pStyle w:val="ListBullet"/>
        <w:spacing w:after="60" w:line="264" w:lineRule="auto"/>
      </w:pPr>
      <w:r>
        <w:rPr>
          <w:b/>
          <w:color w:val="14213D"/>
          <w:sz w:val="19"/>
        </w:rPr>
        <w:t xml:space="preserve">17 Mar.  </w:t>
      </w:r>
      <w:r>
        <w:rPr>
          <w:color w:val="2D3648"/>
          <w:sz w:val="19"/>
        </w:rPr>
        <w:t>Week ends in a bull steepener. 2Y 3.81%, 10Y 3.39%, 30Y 3.60%.</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298"/>
      </w:tblGrid>
      <w:tr>
        <w:tc>
          <w:tcPr>
            <w:tcW w:type="dxa" w:w="9298"/>
            <w:shd w:fill="FBEFE4"/>
            <w:tcMar>
              <w:top w:w="110" w:type="dxa"/>
              <w:bottom w:w="110" w:type="dxa"/>
              <w:left w:w="150" w:type="dxa"/>
              <w:right w:w="150" w:type="dxa"/>
            </w:tcMar>
          </w:tcPr>
          <w:p>
            <w:pPr>
              <w:spacing w:after="40"/>
            </w:pPr>
            <w:r>
              <w:rPr>
                <w:b/>
                <w:color w:val="D97A35"/>
                <w:sz w:val="15"/>
                <w:spacing w:val="24"/>
              </w:rPr>
              <w:t>CAUSALITY CAVEAT</w:t>
            </w:r>
          </w:p>
          <w:p>
            <w:pPr>
              <w:spacing w:after="0" w:line="264" w:lineRule="auto"/>
            </w:pPr>
            <w:r>
              <w:rPr>
                <w:color w:val="14213D"/>
                <w:sz w:val="18"/>
              </w:rPr>
              <w:t>PCA is a statistical decomposition, not a structural model. The labels “level”, “slope” and “curvature” are interpretations of the eigenvectors. The event is consistent with a large negative level shock, a positive slope shock and a twist, but the method cannot prove that SVB “caused” a particular factor score. The news flow and the timing of the daily moves are the evidence for the narrative.</w:t>
            </w:r>
          </w:p>
        </w:tc>
      </w:tr>
    </w:tbl>
    <w:p>
      <w:pPr>
        <w:spacing w:after="40"/>
      </w:pPr>
    </w:p>
    <w:p>
      <w:r>
        <w:br w:type="page"/>
      </w:r>
    </w:p>
    <w:p>
      <w:pPr>
        <w:spacing w:before="200" w:after="40"/>
      </w:pPr>
      <w:r>
        <w:rPr>
          <w:rFonts w:ascii="Calibri" w:hAnsi="Calibri"/>
          <w:b/>
          <w:color w:val="2F6FED"/>
          <w:sz w:val="16"/>
          <w:spacing w:val="28"/>
        </w:rPr>
        <w:t>A THREE-DIAL CURVE, WITH THE MARCH WEEK BUILT IN</w:t>
      </w:r>
    </w:p>
    <w:p>
      <w:pPr>
        <w:pStyle w:val="Heading1"/>
        <w:keepNext/>
        <w:spacing w:before="0" w:after="160"/>
      </w:pPr>
      <w:r>
        <w:rPr>
          <w:rFonts w:ascii="Georgia" w:hAnsi="Georgia"/>
          <w:color w:val="2F6FED"/>
          <w:sz w:val="38"/>
        </w:rPr>
        <w:t xml:space="preserve">5  </w:t>
      </w:r>
      <w:r>
        <w:rPr>
          <w:rFonts w:ascii="Georgia" w:hAnsi="Georgia"/>
          <w:color w:val="14213D"/>
          <w:sz w:val="44"/>
        </w:rPr>
        <w:t>The interactive toy</w:t>
      </w:r>
    </w:p>
    <w:p>
      <w:pPr>
        <w:spacing w:before="0" w:after="180"/>
        <w:pBdr>
          <w:bottom w:val="single" w:sz="6" w:space="1" w:color="C9C1B2"/>
        </w:pBdr>
      </w:pPr>
    </w:p>
    <w:p>
      <w:pPr>
        <w:spacing w:after="100" w:line="271" w:lineRule="auto"/>
      </w:pPr>
      <w:r>
        <w:rPr>
          <w:i w:val="0"/>
          <w:color w:val="2D3648"/>
          <w:sz w:val="20"/>
        </w:rPr>
        <w:t>The Word report is the static analysis. The companion site is the toy: a single-page, dependency-free web app that lets the reader move the three factors and see the curve, the change by tenor, and a plain-English readout. It uses the same loadings, base curve and event data as this report.</w:t>
      </w:r>
    </w:p>
    <w:p>
      <w:pPr>
        <w:spacing w:after="100" w:line="271" w:lineRule="auto"/>
      </w:pPr>
      <w:r>
        <w:rPr>
          <w:i w:val="0"/>
          <w:color w:val="2D3648"/>
          <w:sz w:val="20"/>
        </w:rPr>
        <w:t>The model on screen is y(τ) = y₀(τ) + Σ sⱼ · PCⱼ(τ), where y₀ is the 9 March 2023 curve. The sliders are in units of the daily standard deviation of each factor, so a −14σ PC1 move is the same size as the level shock in the event. The toy does not re-estimate the PCA in the browser; it uses the precomputed loadings, which keeps it fast and reproducible.</w:t>
      </w:r>
    </w:p>
    <w:p>
      <w:pPr>
        <w:pStyle w:val="Heading2"/>
        <w:keepNext/>
        <w:spacing w:before="240" w:after="80"/>
      </w:pPr>
      <w:r>
        <w:rPr>
          <w:rFonts w:ascii="Calibri" w:hAnsi="Calibri"/>
          <w:b/>
          <w:color w:val="2F6FED"/>
          <w:sz w:val="25"/>
        </w:rPr>
        <w:t>5.1  What the reader can do</w:t>
      </w:r>
    </w:p>
    <w:p>
      <w:pPr>
        <w:pStyle w:val="ListNumber"/>
        <w:spacing w:after="60" w:line="264" w:lineRule="auto"/>
      </w:pPr>
      <w:r>
        <w:rPr>
          <w:color w:val="2D3648"/>
          <w:sz w:val="20"/>
        </w:rPr>
        <w:t>Move PC1, PC2 and PC3. The curve animates, the 10Y/2s10s/5Y-fly metrics update, and the “who feels it” panel shows whether a duration position, a steepener or a bullet-versus-barbell position wins.</w:t>
      </w:r>
    </w:p>
    <w:p>
      <w:pPr>
        <w:pStyle w:val="ListNumber"/>
        <w:spacing w:after="60" w:line="264" w:lineRule="auto"/>
      </w:pPr>
      <w:r>
        <w:rPr>
          <w:color w:val="2D3648"/>
          <w:sz w:val="20"/>
        </w:rPr>
        <w:t>Press “SVB week” to set the sliders to the actual event scores. The fitted curve is drawn solid and the actual 17 March curve is dotted, so the residual is visible.</w:t>
      </w:r>
    </w:p>
    <w:p>
      <w:pPr>
        <w:pStyle w:val="ListNumber"/>
        <w:spacing w:after="60" w:line="264" w:lineRule="auto"/>
      </w:pPr>
      <w:r>
        <w:rPr>
          <w:color w:val="2D3648"/>
          <w:sz w:val="20"/>
        </w:rPr>
        <w:t>Press “Solo” on any factor to see that factor alone. This is the fastest way to learn the difference between a level shift, a steepener and a twist.</w:t>
      </w:r>
    </w:p>
    <w:p>
      <w:pPr>
        <w:pStyle w:val="ListNumber"/>
        <w:spacing w:after="60" w:line="264" w:lineRule="auto"/>
      </w:pPr>
      <w:r>
        <w:rPr>
          <w:color w:val="2D3648"/>
          <w:sz w:val="20"/>
        </w:rPr>
        <w:t>Replay the week day by day. The timeline is synchronized with the chart, and the 2Y/10Y/2s10s readout shows how the market moved from 9 to 17 March.</w:t>
      </w:r>
    </w:p>
    <w:p>
      <w:pPr>
        <w:pStyle w:val="ListNumber"/>
        <w:spacing w:after="60" w:line="264" w:lineRule="auto"/>
      </w:pPr>
      <w:r>
        <w:rPr>
          <w:color w:val="2D3648"/>
          <w:sz w:val="20"/>
        </w:rPr>
        <w:t>Reset to the 9 March base curve, or try the bull-steepener, bear-flattener and belly-twist presets.</w:t>
      </w:r>
    </w:p>
    <w:p>
      <w:pPr>
        <w:pStyle w:val="Heading2"/>
        <w:keepNext/>
        <w:spacing w:before="240" w:after="80"/>
      </w:pPr>
      <w:r>
        <w:rPr>
          <w:rFonts w:ascii="Calibri" w:hAnsi="Calibri"/>
          <w:b/>
          <w:color w:val="2F6FED"/>
          <w:sz w:val="25"/>
        </w:rPr>
        <w:t>5.2  Design and deployment</w:t>
      </w:r>
    </w:p>
    <w:p>
      <w:pPr>
        <w:spacing w:after="100" w:line="271" w:lineRule="auto"/>
      </w:pPr>
      <w:r>
        <w:rPr>
          <w:i w:val="0"/>
          <w:color w:val="2D3648"/>
          <w:sz w:val="20"/>
        </w:rPr>
        <w:t>The site is static HTML, CSS and vanilla JavaScript. The data is embedded in a generated JavaScript file; there is no server, no database and no external chart library. That makes it easy to publish on GitHub Pages: put the folder in a repository, enable Pages on the main branch, and the site is live at the repository URL. The analysis scripts that produce the data and the Word report are included in the same folder.</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298"/>
      </w:tblGrid>
      <w:tr>
        <w:tc>
          <w:tcPr>
            <w:tcW w:type="dxa" w:w="9298"/>
            <w:shd w:fill="EAF1FF"/>
            <w:tcMar>
              <w:top w:w="110" w:type="dxa"/>
              <w:bottom w:w="110" w:type="dxa"/>
              <w:left w:w="150" w:type="dxa"/>
              <w:right w:w="150" w:type="dxa"/>
            </w:tcMar>
          </w:tcPr>
          <w:p>
            <w:pPr>
              <w:spacing w:after="40"/>
            </w:pPr>
            <w:r>
              <w:rPr>
                <w:b/>
                <w:color w:val="2F6FED"/>
                <w:sz w:val="15"/>
                <w:spacing w:val="24"/>
              </w:rPr>
              <w:t>FILES IN THE SUBMISSION</w:t>
            </w:r>
          </w:p>
          <w:p>
            <w:pPr>
              <w:spacing w:after="0" w:line="264" w:lineRule="auto"/>
            </w:pPr>
            <w:r>
              <w:rPr>
                <w:color w:val="14213D"/>
                <w:sz w:val="18"/>
              </w:rPr>
              <w:t>index.html — the toy.  assets/style.css and assets/app.js — the interface and interactions.  data/curve_data.js — the loadings, curves and event data.  analysis/pca_yield_curve.py — the PCA and data build.  analysis/ppn_pricing.py — the optional PPN pricing.  report/Yield_Curve_PCA_Report.docx — this document.</w:t>
            </w:r>
          </w:p>
        </w:tc>
      </w:tr>
    </w:tbl>
    <w:p>
      <w:pPr>
        <w:spacing w:after="40"/>
      </w:pPr>
    </w:p>
    <w:p>
      <w:pPr>
        <w:spacing w:before="200" w:after="40"/>
      </w:pPr>
      <w:r>
        <w:rPr>
          <w:rFonts w:ascii="Calibri" w:hAnsi="Calibri"/>
          <w:b/>
          <w:color w:val="2F6FED"/>
          <w:sz w:val="16"/>
          <w:spacing w:val="28"/>
        </w:rPr>
        <w:t>WHAT THE THREE FACTORS CAN AND CANNOT DO</w:t>
      </w:r>
    </w:p>
    <w:p>
      <w:pPr>
        <w:pStyle w:val="Heading1"/>
        <w:keepNext/>
        <w:spacing w:before="0" w:after="160"/>
      </w:pPr>
      <w:r>
        <w:rPr>
          <w:rFonts w:ascii="Georgia" w:hAnsi="Georgia"/>
          <w:color w:val="2F6FED"/>
          <w:sz w:val="38"/>
        </w:rPr>
        <w:t xml:space="preserve">6  </w:t>
      </w:r>
      <w:r>
        <w:rPr>
          <w:rFonts w:ascii="Georgia" w:hAnsi="Georgia"/>
          <w:color w:val="14213D"/>
          <w:sz w:val="44"/>
        </w:rPr>
        <w:t>Caveats and conclusion</w:t>
      </w:r>
    </w:p>
    <w:p>
      <w:pPr>
        <w:spacing w:before="0" w:after="180"/>
        <w:pBdr>
          <w:bottom w:val="single" w:sz="6" w:space="1" w:color="C9C1B2"/>
        </w:pBdr>
      </w:pPr>
    </w:p>
    <w:p>
      <w:pPr>
        <w:spacing w:after="100" w:line="271" w:lineRule="auto"/>
      </w:pPr>
      <w:r>
        <w:rPr>
          <w:i w:val="0"/>
          <w:color w:val="2D3648"/>
          <w:sz w:val="20"/>
        </w:rPr>
        <w:t>Three factors are a good summary of the curve, but they are not a full model of the world. The main caveats are:</w:t>
      </w:r>
    </w:p>
    <w:p>
      <w:pPr>
        <w:pStyle w:val="ListBullet"/>
        <w:spacing w:after="60" w:line="264" w:lineRule="auto"/>
      </w:pPr>
      <w:r>
        <w:rPr>
          <w:color w:val="2D3648"/>
          <w:sz w:val="20"/>
        </w:rPr>
        <w:t>The PCA is estimated on par yields, not zero-coupon yields. Par yields are the right data for the homework and for the curve shape, but a trader pricing bonds would bootstrap a zero curve. The factor interpretation is unaffected; the level of the fit could change slightly.</w:t>
      </w:r>
    </w:p>
    <w:p>
      <w:pPr>
        <w:pStyle w:val="ListBullet"/>
        <w:spacing w:after="60" w:line="264" w:lineRule="auto"/>
      </w:pPr>
      <w:r>
        <w:rPr>
          <w:color w:val="2D3648"/>
          <w:sz w:val="20"/>
        </w:rPr>
        <w:t>The loadings are estimated over a long sample and held fixed for the event. That is the right way to avoid look-ahead bias, but it means the model may not reflect the market’s factor structure during a regime change. A rolling-window PCA would give different scores.</w:t>
      </w:r>
    </w:p>
    <w:p>
      <w:pPr>
        <w:pStyle w:val="ListBullet"/>
        <w:spacing w:after="60" w:line="264" w:lineRule="auto"/>
      </w:pPr>
      <w:r>
        <w:rPr>
          <w:color w:val="2D3648"/>
          <w:sz w:val="20"/>
        </w:rPr>
        <w:t>The 2Y residual is 9.5 bp, and the 5Y-fly residual is 17.1 bp. The model captures the direction of the move, not every relative-value nuance. A 4th or 5th factor would reduce the residual only modestly, because the front-end move is genuinely unusual relative to the long sample.</w:t>
      </w:r>
    </w:p>
    <w:p>
      <w:pPr>
        <w:pStyle w:val="ListBullet"/>
        <w:spacing w:after="60" w:line="264" w:lineRule="auto"/>
      </w:pPr>
      <w:r>
        <w:rPr>
          <w:color w:val="2D3648"/>
          <w:sz w:val="20"/>
        </w:rPr>
        <w:t>PCA is descriptive, not causal. The factor labels are economic interpretations. The event narrative is supported by the timing of the news and the daily yield moves, not by an identified structural shock.</w:t>
      </w:r>
    </w:p>
    <w:p>
      <w:pPr>
        <w:spacing w:after="100" w:line="271" w:lineRule="auto"/>
      </w:pPr>
      <w:r>
        <w:rPr>
          <w:i w:val="0"/>
          <w:color w:val="2D3648"/>
          <w:sz w:val="20"/>
        </w:rPr>
        <w:t>None of these caveats changes the main answer. The March 2023 move was a large bull steepener: a dominant negative level shock, a positive slope shock, and a smaller twist. The level factor explains most of the variance, but the slope and curvature factors explain why the curve did not simply shift down in parallel. The official backstop, the Fed-path repricing and the global bank-stress episode are the most plausible drivers.</w:t>
      </w:r>
    </w:p>
    <w:p>
      <w:r>
        <w:br w:type="page"/>
      </w:r>
    </w:p>
    <w:p>
      <w:pPr>
        <w:spacing w:before="200" w:after="40"/>
      </w:pPr>
      <w:r>
        <w:rPr>
          <w:rFonts w:ascii="Calibri" w:hAnsi="Calibri"/>
          <w:b/>
          <w:color w:val="2F6FED"/>
          <w:sz w:val="16"/>
          <w:spacing w:val="28"/>
        </w:rPr>
        <w:t>A CALL SPREAD WITH A 130% CAP</w:t>
      </w:r>
    </w:p>
    <w:p>
      <w:pPr>
        <w:pStyle w:val="Heading1"/>
        <w:keepNext/>
        <w:spacing w:before="0" w:after="160"/>
      </w:pPr>
      <w:r>
        <w:rPr>
          <w:rFonts w:ascii="Georgia" w:hAnsi="Georgia"/>
          <w:color w:val="2F6FED"/>
          <w:sz w:val="38"/>
        </w:rPr>
        <w:t xml:space="preserve">7  </w:t>
      </w:r>
      <w:r>
        <w:rPr>
          <w:rFonts w:ascii="Georgia" w:hAnsi="Georgia"/>
          <w:color w:val="14213D"/>
          <w:sz w:val="44"/>
        </w:rPr>
        <w:t>Optional: a 3-year SPX principal-protected note</w:t>
      </w:r>
    </w:p>
    <w:p>
      <w:pPr>
        <w:spacing w:before="0" w:after="180"/>
        <w:pBdr>
          <w:bottom w:val="single" w:sz="6" w:space="1" w:color="C9C1B2"/>
        </w:pBdr>
      </w:pPr>
    </w:p>
    <w:p>
      <w:pPr>
        <w:spacing w:after="100" w:line="271" w:lineRule="auto"/>
      </w:pPr>
      <w:r>
        <w:rPr>
          <w:i w:val="0"/>
          <w:color w:val="2D3648"/>
          <w:sz w:val="20"/>
        </w:rPr>
        <w:t>This section is an indicative extension, not an offer. The structure is a three-year, 100% principal-protected note linked to the S&amp;P 500 Index. The upside comes from a European 100–130% call spread. The note pays 100% of principal at maturity plus 100% participation in the index return between 100% and 130%; the maximum redemption is 130%. There is no downside participation, but the investor takes issuer credit risk.</w:t>
      </w:r>
    </w:p>
    <w:p>
      <w:pPr>
        <w:pStyle w:val="Heading2"/>
        <w:keepNext/>
        <w:spacing w:before="240" w:after="80"/>
      </w:pPr>
      <w:r>
        <w:rPr>
          <w:rFonts w:ascii="Calibri" w:hAnsi="Calibri"/>
          <w:b/>
          <w:color w:val="2F6FED"/>
          <w:sz w:val="25"/>
        </w:rPr>
        <w:t>7.1  Why a call spread?</w:t>
      </w:r>
    </w:p>
    <w:p>
      <w:pPr>
        <w:spacing w:after="100" w:line="271" w:lineRule="auto"/>
      </w:pPr>
      <w:r>
        <w:rPr>
          <w:i w:val="0"/>
          <w:color w:val="2D3648"/>
          <w:sz w:val="20"/>
        </w:rPr>
        <w:t>A vanilla three-year at-the-money call would cost about 17.2% of notional at 22% volatility, which is more than the 10.5% option budget available after buying the zero-coupon bond floor. A call spread is cheaper because the investor gives up the upside above the cap. The 100–130% spread costs 9.56%, which fits the budget and still offers 100% participation. A wider 80–120% spread costs 17.9% and would only support about 59% participation; a 100–125% spread costs 8.41% and would support about 125% participation, but with a lower cap. The 100–130% structure is the balanced choice.</w:t>
      </w:r>
    </w:p>
    <w:p>
      <w:pPr>
        <w:pStyle w:val="Heading2"/>
        <w:keepNext/>
        <w:spacing w:before="240" w:after="80"/>
      </w:pPr>
      <w:r>
        <w:rPr>
          <w:rFonts w:ascii="Calibri" w:hAnsi="Calibri"/>
          <w:b/>
          <w:color w:val="2F6FED"/>
          <w:sz w:val="25"/>
        </w:rPr>
        <w:t>7.2  Pricing assumptions</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2268"/>
        <w:gridCol w:w="1814"/>
        <w:gridCol w:w="4649"/>
      </w:tblGrid>
      <w:tr>
        <w:trPr>
          <w:tblHeader w:val="true"/>
        </w:trPr>
        <w:tc>
          <w:tcPr>
            <w:tcW w:type="dxa" w:w="2268"/>
            <w:shd w:fill="14213D"/>
            <w:tcMar>
              <w:top w:w="50" w:type="dxa"/>
              <w:bottom w:w="50" w:type="dxa"/>
              <w:left w:w="80" w:type="dxa"/>
              <w:right w:w="80" w:type="dxa"/>
            </w:tcMar>
            <w:vAlign w:val="center"/>
          </w:tcPr>
          <w:p>
            <w:pPr>
              <w:jc w:val="left"/>
            </w:pPr>
            <w:r/>
            <w:r>
              <w:rPr>
                <w:b/>
                <w:color w:val="FFFFFF"/>
                <w:sz w:val="16"/>
              </w:rPr>
              <w:t>Input</w:t>
            </w:r>
          </w:p>
        </w:tc>
        <w:tc>
          <w:tcPr>
            <w:tcW w:type="dxa" w:w="1814"/>
            <w:shd w:fill="14213D"/>
            <w:tcMar>
              <w:top w:w="50" w:type="dxa"/>
              <w:bottom w:w="50" w:type="dxa"/>
              <w:left w:w="80" w:type="dxa"/>
              <w:right w:w="80" w:type="dxa"/>
            </w:tcMar>
            <w:vAlign w:val="center"/>
          </w:tcPr>
          <w:p>
            <w:pPr>
              <w:jc w:val="right"/>
            </w:pPr>
            <w:r/>
            <w:r>
              <w:rPr>
                <w:b/>
                <w:color w:val="FFFFFF"/>
                <w:sz w:val="16"/>
              </w:rPr>
              <w:t>Value</w:t>
            </w:r>
          </w:p>
        </w:tc>
        <w:tc>
          <w:tcPr>
            <w:tcW w:type="dxa" w:w="4649"/>
            <w:shd w:fill="14213D"/>
            <w:tcMar>
              <w:top w:w="50" w:type="dxa"/>
              <w:bottom w:w="50" w:type="dxa"/>
              <w:left w:w="80" w:type="dxa"/>
              <w:right w:w="80" w:type="dxa"/>
            </w:tcMar>
            <w:vAlign w:val="center"/>
          </w:tcPr>
          <w:p>
            <w:pPr>
              <w:jc w:val="left"/>
            </w:pPr>
            <w:r/>
            <w:r>
              <w:rPr>
                <w:b/>
                <w:color w:val="FFFFFF"/>
                <w:sz w:val="16"/>
              </w:rPr>
              <w:t>Note</w:t>
            </w:r>
          </w:p>
        </w:tc>
      </w:tr>
      <w:tr>
        <w:trPr>
          <w:cantSplit/>
        </w:trPr>
        <w:tc>
          <w:tcPr>
            <w:tcW w:type="dxa" w:w="2268"/>
            <w:tcMar>
              <w:top w:w="50" w:type="dxa"/>
              <w:bottom w:w="50" w:type="dxa"/>
              <w:left w:w="80" w:type="dxa"/>
              <w:right w:w="80" w:type="dxa"/>
            </w:tcMar>
            <w:vAlign w:val="center"/>
          </w:tcPr>
          <w:p>
            <w:pPr>
              <w:spacing w:after="0" w:before="0" w:line="240" w:lineRule="auto"/>
              <w:jc w:val="left"/>
            </w:pPr>
            <w:r/>
            <w:r>
              <w:rPr>
                <w:b/>
                <w:color w:val="14213D"/>
                <w:sz w:val="16"/>
              </w:rPr>
              <w:t>Spot (S₀)</w:t>
            </w:r>
          </w:p>
        </w:tc>
        <w:tc>
          <w:tcPr>
            <w:tcW w:type="dxa" w:w="1814"/>
            <w:tcMar>
              <w:top w:w="50" w:type="dxa"/>
              <w:bottom w:w="50" w:type="dxa"/>
              <w:left w:w="80" w:type="dxa"/>
              <w:right w:w="80" w:type="dxa"/>
            </w:tcMar>
            <w:vAlign w:val="center"/>
          </w:tcPr>
          <w:p>
            <w:pPr>
              <w:spacing w:after="0" w:before="0" w:line="240" w:lineRule="auto"/>
              <w:jc w:val="right"/>
            </w:pPr>
            <w:r/>
            <w:r>
              <w:rPr>
                <w:color w:val="14213D"/>
                <w:sz w:val="16"/>
              </w:rPr>
              <w:t>3,916.64</w:t>
            </w:r>
          </w:p>
        </w:tc>
        <w:tc>
          <w:tcPr>
            <w:tcW w:type="dxa" w:w="4649"/>
            <w:tcMar>
              <w:top w:w="50" w:type="dxa"/>
              <w:bottom w:w="50" w:type="dxa"/>
              <w:left w:w="80" w:type="dxa"/>
              <w:right w:w="80" w:type="dxa"/>
            </w:tcMar>
            <w:vAlign w:val="center"/>
          </w:tcPr>
          <w:p>
            <w:pPr>
              <w:spacing w:after="0" w:before="0" w:line="240" w:lineRule="auto"/>
              <w:jc w:val="left"/>
            </w:pPr>
            <w:r/>
            <w:r>
              <w:rPr>
                <w:color w:val="14213D"/>
                <w:sz w:val="16"/>
              </w:rPr>
              <w:t>S&amp;P 500 close, 17 Mar 2023</w:t>
            </w:r>
          </w:p>
        </w:tc>
      </w:tr>
      <w:tr>
        <w:trPr>
          <w:cantSplit/>
        </w:trPr>
        <w:tc>
          <w:tcPr>
            <w:tcW w:type="dxa" w:w="2268"/>
            <w:tcMar>
              <w:top w:w="50" w:type="dxa"/>
              <w:bottom w:w="50" w:type="dxa"/>
              <w:left w:w="80" w:type="dxa"/>
              <w:right w:w="80" w:type="dxa"/>
            </w:tcMar>
            <w:vAlign w:val="center"/>
            <w:shd w:fill="F8F4EB"/>
          </w:tcPr>
          <w:p>
            <w:pPr>
              <w:spacing w:after="0" w:before="0" w:line="240" w:lineRule="auto"/>
              <w:jc w:val="left"/>
            </w:pPr>
            <w:r/>
            <w:r>
              <w:rPr>
                <w:b/>
                <w:color w:val="14213D"/>
                <w:sz w:val="16"/>
              </w:rPr>
              <w:t>Term (T)</w:t>
            </w:r>
          </w:p>
        </w:tc>
        <w:tc>
          <w:tcPr>
            <w:tcW w:type="dxa" w:w="1814"/>
            <w:tcMar>
              <w:top w:w="50" w:type="dxa"/>
              <w:bottom w:w="50" w:type="dxa"/>
              <w:left w:w="80" w:type="dxa"/>
              <w:right w:w="80" w:type="dxa"/>
            </w:tcMar>
            <w:vAlign w:val="center"/>
            <w:shd w:fill="F8F4EB"/>
          </w:tcPr>
          <w:p>
            <w:pPr>
              <w:spacing w:after="0" w:before="0" w:line="240" w:lineRule="auto"/>
              <w:jc w:val="right"/>
            </w:pPr>
            <w:r/>
            <w:r>
              <w:rPr>
                <w:color w:val="14213D"/>
                <w:sz w:val="16"/>
              </w:rPr>
              <w:t>3.0 years</w:t>
            </w:r>
          </w:p>
        </w:tc>
        <w:tc>
          <w:tcPr>
            <w:tcW w:type="dxa" w:w="4649"/>
            <w:tcMar>
              <w:top w:w="50" w:type="dxa"/>
              <w:bottom w:w="50" w:type="dxa"/>
              <w:left w:w="80" w:type="dxa"/>
              <w:right w:w="80" w:type="dxa"/>
            </w:tcMar>
            <w:vAlign w:val="center"/>
            <w:shd w:fill="F8F4EB"/>
          </w:tcPr>
          <w:p>
            <w:pPr>
              <w:spacing w:after="0" w:before="0" w:line="240" w:lineRule="auto"/>
              <w:jc w:val="left"/>
            </w:pPr>
            <w:r/>
            <w:r>
              <w:rPr>
                <w:color w:val="14213D"/>
                <w:sz w:val="16"/>
              </w:rPr>
              <w:t>17 Mar 2023 → 17 Mar 2026</w:t>
            </w:r>
          </w:p>
        </w:tc>
      </w:tr>
      <w:tr>
        <w:trPr>
          <w:cantSplit/>
        </w:trPr>
        <w:tc>
          <w:tcPr>
            <w:tcW w:type="dxa" w:w="2268"/>
            <w:tcMar>
              <w:top w:w="50" w:type="dxa"/>
              <w:bottom w:w="50" w:type="dxa"/>
              <w:left w:w="80" w:type="dxa"/>
              <w:right w:w="80" w:type="dxa"/>
            </w:tcMar>
            <w:vAlign w:val="center"/>
          </w:tcPr>
          <w:p>
            <w:pPr>
              <w:spacing w:after="0" w:before="0" w:line="240" w:lineRule="auto"/>
              <w:jc w:val="left"/>
            </w:pPr>
            <w:r/>
            <w:r>
              <w:rPr>
                <w:b/>
                <w:color w:val="14213D"/>
                <w:sz w:val="16"/>
              </w:rPr>
              <w:t>Risk-free rate (r)</w:t>
            </w:r>
          </w:p>
        </w:tc>
        <w:tc>
          <w:tcPr>
            <w:tcW w:type="dxa" w:w="1814"/>
            <w:tcMar>
              <w:top w:w="50" w:type="dxa"/>
              <w:bottom w:w="50" w:type="dxa"/>
              <w:left w:w="80" w:type="dxa"/>
              <w:right w:w="80" w:type="dxa"/>
            </w:tcMar>
            <w:vAlign w:val="center"/>
          </w:tcPr>
          <w:p>
            <w:pPr>
              <w:spacing w:after="0" w:before="0" w:line="240" w:lineRule="auto"/>
              <w:jc w:val="right"/>
            </w:pPr>
            <w:r/>
            <w:r>
              <w:rPr>
                <w:color w:val="14213D"/>
                <w:sz w:val="16"/>
              </w:rPr>
              <w:t>3.70%</w:t>
            </w:r>
          </w:p>
        </w:tc>
        <w:tc>
          <w:tcPr>
            <w:tcW w:type="dxa" w:w="4649"/>
            <w:tcMar>
              <w:top w:w="50" w:type="dxa"/>
              <w:bottom w:w="50" w:type="dxa"/>
              <w:left w:w="80" w:type="dxa"/>
              <w:right w:w="80" w:type="dxa"/>
            </w:tcMar>
            <w:vAlign w:val="center"/>
          </w:tcPr>
          <w:p>
            <w:pPr>
              <w:spacing w:after="0" w:before="0" w:line="240" w:lineRule="auto"/>
              <w:jc w:val="left"/>
            </w:pPr>
            <w:r/>
            <w:r>
              <w:rPr>
                <w:color w:val="14213D"/>
                <w:sz w:val="16"/>
              </w:rPr>
              <w:t>3Y Treasury par yield 3.68%, rounded up</w:t>
            </w:r>
          </w:p>
        </w:tc>
      </w:tr>
      <w:tr>
        <w:trPr>
          <w:cantSplit/>
        </w:trPr>
        <w:tc>
          <w:tcPr>
            <w:tcW w:type="dxa" w:w="2268"/>
            <w:tcMar>
              <w:top w:w="50" w:type="dxa"/>
              <w:bottom w:w="50" w:type="dxa"/>
              <w:left w:w="80" w:type="dxa"/>
              <w:right w:w="80" w:type="dxa"/>
            </w:tcMar>
            <w:vAlign w:val="center"/>
            <w:shd w:fill="F8F4EB"/>
          </w:tcPr>
          <w:p>
            <w:pPr>
              <w:spacing w:after="0" w:before="0" w:line="240" w:lineRule="auto"/>
              <w:jc w:val="left"/>
            </w:pPr>
            <w:r/>
            <w:r>
              <w:rPr>
                <w:b/>
                <w:color w:val="14213D"/>
                <w:sz w:val="16"/>
              </w:rPr>
              <w:t>Dividend yield (q)</w:t>
            </w:r>
          </w:p>
        </w:tc>
        <w:tc>
          <w:tcPr>
            <w:tcW w:type="dxa" w:w="1814"/>
            <w:tcMar>
              <w:top w:w="50" w:type="dxa"/>
              <w:bottom w:w="50" w:type="dxa"/>
              <w:left w:w="80" w:type="dxa"/>
              <w:right w:w="80" w:type="dxa"/>
            </w:tcMar>
            <w:vAlign w:val="center"/>
            <w:shd w:fill="F8F4EB"/>
          </w:tcPr>
          <w:p>
            <w:pPr>
              <w:spacing w:after="0" w:before="0" w:line="240" w:lineRule="auto"/>
              <w:jc w:val="right"/>
            </w:pPr>
            <w:r/>
            <w:r>
              <w:rPr>
                <w:color w:val="14213D"/>
                <w:sz w:val="16"/>
              </w:rPr>
              <w:t>1.50%</w:t>
            </w:r>
          </w:p>
        </w:tc>
        <w:tc>
          <w:tcPr>
            <w:tcW w:type="dxa" w:w="4649"/>
            <w:tcMar>
              <w:top w:w="50" w:type="dxa"/>
              <w:bottom w:w="50" w:type="dxa"/>
              <w:left w:w="80" w:type="dxa"/>
              <w:right w:w="80" w:type="dxa"/>
            </w:tcMar>
            <w:vAlign w:val="center"/>
            <w:shd w:fill="F8F4EB"/>
          </w:tcPr>
          <w:p>
            <w:pPr>
              <w:spacing w:after="0" w:before="0" w:line="240" w:lineRule="auto"/>
              <w:jc w:val="left"/>
            </w:pPr>
            <w:r/>
            <w:r>
              <w:rPr>
                <w:color w:val="14213D"/>
                <w:sz w:val="16"/>
              </w:rPr>
              <w:t>Assumption</w:t>
            </w:r>
          </w:p>
        </w:tc>
      </w:tr>
      <w:tr>
        <w:trPr>
          <w:cantSplit/>
        </w:trPr>
        <w:tc>
          <w:tcPr>
            <w:tcW w:type="dxa" w:w="2268"/>
            <w:tcMar>
              <w:top w:w="50" w:type="dxa"/>
              <w:bottom w:w="50" w:type="dxa"/>
              <w:left w:w="80" w:type="dxa"/>
              <w:right w:w="80" w:type="dxa"/>
            </w:tcMar>
            <w:vAlign w:val="center"/>
          </w:tcPr>
          <w:p>
            <w:pPr>
              <w:spacing w:after="0" w:before="0" w:line="240" w:lineRule="auto"/>
              <w:jc w:val="left"/>
            </w:pPr>
            <w:r/>
            <w:r>
              <w:rPr>
                <w:b/>
                <w:color w:val="14213D"/>
                <w:sz w:val="16"/>
              </w:rPr>
              <w:t>Volatility (σ)</w:t>
            </w:r>
          </w:p>
        </w:tc>
        <w:tc>
          <w:tcPr>
            <w:tcW w:type="dxa" w:w="1814"/>
            <w:tcMar>
              <w:top w:w="50" w:type="dxa"/>
              <w:bottom w:w="50" w:type="dxa"/>
              <w:left w:w="80" w:type="dxa"/>
              <w:right w:w="80" w:type="dxa"/>
            </w:tcMar>
            <w:vAlign w:val="center"/>
          </w:tcPr>
          <w:p>
            <w:pPr>
              <w:spacing w:after="0" w:before="0" w:line="240" w:lineRule="auto"/>
              <w:jc w:val="right"/>
            </w:pPr>
            <w:r/>
            <w:r>
              <w:rPr>
                <w:color w:val="14213D"/>
                <w:sz w:val="16"/>
              </w:rPr>
              <w:t>22.0%</w:t>
            </w:r>
          </w:p>
        </w:tc>
        <w:tc>
          <w:tcPr>
            <w:tcW w:type="dxa" w:w="4649"/>
            <w:tcMar>
              <w:top w:w="50" w:type="dxa"/>
              <w:bottom w:w="50" w:type="dxa"/>
              <w:left w:w="80" w:type="dxa"/>
              <w:right w:w="80" w:type="dxa"/>
            </w:tcMar>
            <w:vAlign w:val="center"/>
          </w:tcPr>
          <w:p>
            <w:pPr>
              <w:spacing w:after="0" w:before="0" w:line="240" w:lineRule="auto"/>
              <w:jc w:val="left"/>
            </w:pPr>
            <w:r/>
            <w:r>
              <w:rPr>
                <w:color w:val="14213D"/>
                <w:sz w:val="16"/>
              </w:rPr>
              <w:t>Long-dated vol; VIX 25.5 is short-dated</w:t>
            </w:r>
          </w:p>
        </w:tc>
      </w:tr>
      <w:tr>
        <w:trPr>
          <w:cantSplit/>
        </w:trPr>
        <w:tc>
          <w:tcPr>
            <w:tcW w:type="dxa" w:w="2268"/>
            <w:tcMar>
              <w:top w:w="50" w:type="dxa"/>
              <w:bottom w:w="50" w:type="dxa"/>
              <w:left w:w="80" w:type="dxa"/>
              <w:right w:w="80" w:type="dxa"/>
            </w:tcMar>
            <w:vAlign w:val="center"/>
            <w:shd w:fill="F8F4EB"/>
          </w:tcPr>
          <w:p>
            <w:pPr>
              <w:spacing w:after="0" w:before="0" w:line="240" w:lineRule="auto"/>
              <w:jc w:val="left"/>
            </w:pPr>
            <w:r/>
            <w:r>
              <w:rPr>
                <w:b/>
                <w:color w:val="14213D"/>
                <w:sz w:val="16"/>
              </w:rPr>
              <w:t>Principal protection</w:t>
            </w:r>
          </w:p>
        </w:tc>
        <w:tc>
          <w:tcPr>
            <w:tcW w:type="dxa" w:w="1814"/>
            <w:tcMar>
              <w:top w:w="50" w:type="dxa"/>
              <w:bottom w:w="50" w:type="dxa"/>
              <w:left w:w="80" w:type="dxa"/>
              <w:right w:w="80" w:type="dxa"/>
            </w:tcMar>
            <w:vAlign w:val="center"/>
            <w:shd w:fill="F8F4EB"/>
          </w:tcPr>
          <w:p>
            <w:pPr>
              <w:spacing w:after="0" w:before="0" w:line="240" w:lineRule="auto"/>
              <w:jc w:val="right"/>
            </w:pPr>
            <w:r/>
            <w:r>
              <w:rPr>
                <w:color w:val="14213D"/>
                <w:sz w:val="16"/>
              </w:rPr>
              <w:t>100%</w:t>
            </w:r>
          </w:p>
        </w:tc>
        <w:tc>
          <w:tcPr>
            <w:tcW w:type="dxa" w:w="4649"/>
            <w:tcMar>
              <w:top w:w="50" w:type="dxa"/>
              <w:bottom w:w="50" w:type="dxa"/>
              <w:left w:w="80" w:type="dxa"/>
              <w:right w:w="80" w:type="dxa"/>
            </w:tcMar>
            <w:vAlign w:val="center"/>
            <w:shd w:fill="F8F4EB"/>
          </w:tcPr>
          <w:p>
            <w:pPr>
              <w:spacing w:after="0" w:before="0" w:line="240" w:lineRule="auto"/>
              <w:jc w:val="left"/>
            </w:pPr>
            <w:r/>
            <w:r>
              <w:rPr>
                <w:color w:val="14213D"/>
                <w:sz w:val="16"/>
              </w:rPr>
              <w:t>Zero-coupon bond floor</w:t>
            </w:r>
          </w:p>
        </w:tc>
      </w:tr>
    </w:tbl>
    <w:p>
      <w:pPr>
        <w:spacing w:before="40" w:after="20"/>
      </w:pPr>
      <w:r>
        <w:rPr>
          <w:i/>
          <w:color w:val="7A8291"/>
          <w:sz w:val="16"/>
        </w:rPr>
        <w:t>Table 4. Indicative pricing assumptions for the 3-year SPX note.</w:t>
      </w:r>
    </w:p>
    <w:p>
      <w:pPr>
        <w:spacing w:before="0" w:after="180"/>
      </w:pPr>
      <w:r>
        <w:rPr>
          <w:color w:val="7A8291"/>
          <w:sz w:val="15"/>
        </w:rPr>
        <w:t>Black–Scholes call spread, continuous dividend yield, European exercise. Illustrative only.</w:t>
      </w:r>
    </w:p>
    <w:p>
      <w:pPr>
        <w:pStyle w:val="Heading2"/>
        <w:keepNext/>
        <w:spacing w:before="240" w:after="80"/>
      </w:pPr>
      <w:r>
        <w:rPr>
          <w:rFonts w:ascii="Calibri" w:hAnsi="Calibri"/>
          <w:b/>
          <w:color w:val="2F6FED"/>
          <w:sz w:val="25"/>
        </w:rPr>
        <w:t>7.3  Pricing</w:t>
      </w:r>
    </w:p>
    <w:p>
      <w:pPr>
        <w:spacing w:after="100" w:line="271" w:lineRule="auto"/>
      </w:pPr>
      <w:r>
        <w:rPr>
          <w:i w:val="0"/>
          <w:color w:val="2D3648"/>
          <w:sz w:val="20"/>
        </w:rPr>
        <w:t>The zero-coupon bond floor is 100 · e^(−0.037×3) = 89.49. The 100% call costs 17.24% of notional; the 130% call costs 7.69%; the call spread is 9.56%. The fair value is 89.49 + 9.56 = 99.05. At an issue price of 100, the residual 0.95% covers fees and issuer margin. The maximum redemption is 130%, and the minimum at maturity is 100% (before issuer credit risk).</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2835"/>
        <w:gridCol w:w="1814"/>
        <w:gridCol w:w="4082"/>
      </w:tblGrid>
      <w:tr>
        <w:trPr>
          <w:tblHeader w:val="true"/>
        </w:trPr>
        <w:tc>
          <w:tcPr>
            <w:tcW w:type="dxa" w:w="2835"/>
            <w:shd w:fill="14213D"/>
            <w:tcMar>
              <w:top w:w="50" w:type="dxa"/>
              <w:bottom w:w="50" w:type="dxa"/>
              <w:left w:w="80" w:type="dxa"/>
              <w:right w:w="80" w:type="dxa"/>
            </w:tcMar>
            <w:vAlign w:val="center"/>
          </w:tcPr>
          <w:p>
            <w:pPr>
              <w:jc w:val="left"/>
            </w:pPr>
            <w:r/>
            <w:r>
              <w:rPr>
                <w:b/>
                <w:color w:val="FFFFFF"/>
                <w:sz w:val="16"/>
              </w:rPr>
              <w:t>Component</w:t>
            </w:r>
          </w:p>
        </w:tc>
        <w:tc>
          <w:tcPr>
            <w:tcW w:type="dxa" w:w="1814"/>
            <w:shd w:fill="14213D"/>
            <w:tcMar>
              <w:top w:w="50" w:type="dxa"/>
              <w:bottom w:w="50" w:type="dxa"/>
              <w:left w:w="80" w:type="dxa"/>
              <w:right w:w="80" w:type="dxa"/>
            </w:tcMar>
            <w:vAlign w:val="center"/>
          </w:tcPr>
          <w:p>
            <w:pPr>
              <w:jc w:val="right"/>
            </w:pPr>
            <w:r/>
            <w:r>
              <w:rPr>
                <w:b/>
                <w:color w:val="FFFFFF"/>
                <w:sz w:val="16"/>
              </w:rPr>
              <w:t>Value</w:t>
            </w:r>
          </w:p>
        </w:tc>
        <w:tc>
          <w:tcPr>
            <w:tcW w:type="dxa" w:w="4082"/>
            <w:shd w:fill="14213D"/>
            <w:tcMar>
              <w:top w:w="50" w:type="dxa"/>
              <w:bottom w:w="50" w:type="dxa"/>
              <w:left w:w="80" w:type="dxa"/>
              <w:right w:w="80" w:type="dxa"/>
            </w:tcMar>
            <w:vAlign w:val="center"/>
          </w:tcPr>
          <w:p>
            <w:pPr>
              <w:jc w:val="left"/>
            </w:pPr>
            <w:r/>
            <w:r>
              <w:rPr>
                <w:b/>
                <w:color w:val="FFFFFF"/>
                <w:sz w:val="16"/>
              </w:rPr>
              <w:t>Method</w:t>
            </w:r>
          </w:p>
        </w:tc>
      </w:tr>
      <w:tr>
        <w:trPr>
          <w:cantSplit/>
        </w:trPr>
        <w:tc>
          <w:tcPr>
            <w:tcW w:type="dxa" w:w="2835"/>
            <w:tcMar>
              <w:top w:w="50" w:type="dxa"/>
              <w:bottom w:w="50" w:type="dxa"/>
              <w:left w:w="80" w:type="dxa"/>
              <w:right w:w="80" w:type="dxa"/>
            </w:tcMar>
            <w:vAlign w:val="center"/>
          </w:tcPr>
          <w:p>
            <w:pPr>
              <w:spacing w:after="0" w:before="0" w:line="240" w:lineRule="auto"/>
              <w:jc w:val="left"/>
            </w:pPr>
            <w:r/>
            <w:r>
              <w:rPr>
                <w:b/>
                <w:color w:val="14213D"/>
                <w:sz w:val="16"/>
              </w:rPr>
              <w:t>Zero-coupon bond floor</w:t>
            </w:r>
          </w:p>
        </w:tc>
        <w:tc>
          <w:tcPr>
            <w:tcW w:type="dxa" w:w="1814"/>
            <w:tcMar>
              <w:top w:w="50" w:type="dxa"/>
              <w:bottom w:w="50" w:type="dxa"/>
              <w:left w:w="80" w:type="dxa"/>
              <w:right w:w="80" w:type="dxa"/>
            </w:tcMar>
            <w:vAlign w:val="center"/>
          </w:tcPr>
          <w:p>
            <w:pPr>
              <w:spacing w:after="0" w:before="0" w:line="240" w:lineRule="auto"/>
              <w:jc w:val="right"/>
            </w:pPr>
            <w:r/>
            <w:r>
              <w:rPr>
                <w:color w:val="14213D"/>
                <w:sz w:val="16"/>
              </w:rPr>
              <w:t>89.49%</w:t>
            </w:r>
          </w:p>
        </w:tc>
        <w:tc>
          <w:tcPr>
            <w:tcW w:type="dxa" w:w="4082"/>
            <w:tcMar>
              <w:top w:w="50" w:type="dxa"/>
              <w:bottom w:w="50" w:type="dxa"/>
              <w:left w:w="80" w:type="dxa"/>
              <w:right w:w="80" w:type="dxa"/>
            </w:tcMar>
            <w:vAlign w:val="center"/>
          </w:tcPr>
          <w:p>
            <w:pPr>
              <w:spacing w:after="0" w:before="0" w:line="240" w:lineRule="auto"/>
              <w:jc w:val="left"/>
            </w:pPr>
            <w:r/>
            <w:r>
              <w:rPr>
                <w:color w:val="14213D"/>
                <w:sz w:val="16"/>
              </w:rPr>
              <w:t>100 · e^(−rT)</w:t>
            </w:r>
          </w:p>
        </w:tc>
      </w:tr>
      <w:tr>
        <w:trPr>
          <w:cantSplit/>
        </w:trPr>
        <w:tc>
          <w:tcPr>
            <w:tcW w:type="dxa" w:w="2835"/>
            <w:tcMar>
              <w:top w:w="50" w:type="dxa"/>
              <w:bottom w:w="50" w:type="dxa"/>
              <w:left w:w="80" w:type="dxa"/>
              <w:right w:w="80" w:type="dxa"/>
            </w:tcMar>
            <w:vAlign w:val="center"/>
            <w:shd w:fill="F8F4EB"/>
          </w:tcPr>
          <w:p>
            <w:pPr>
              <w:spacing w:after="0" w:before="0" w:line="240" w:lineRule="auto"/>
              <w:jc w:val="left"/>
            </w:pPr>
            <w:r/>
            <w:r>
              <w:rPr>
                <w:b/>
                <w:color w:val="14213D"/>
                <w:sz w:val="16"/>
              </w:rPr>
              <w:t>100% call</w:t>
            </w:r>
          </w:p>
        </w:tc>
        <w:tc>
          <w:tcPr>
            <w:tcW w:type="dxa" w:w="1814"/>
            <w:tcMar>
              <w:top w:w="50" w:type="dxa"/>
              <w:bottom w:w="50" w:type="dxa"/>
              <w:left w:w="80" w:type="dxa"/>
              <w:right w:w="80" w:type="dxa"/>
            </w:tcMar>
            <w:vAlign w:val="center"/>
            <w:shd w:fill="F8F4EB"/>
          </w:tcPr>
          <w:p>
            <w:pPr>
              <w:spacing w:after="0" w:before="0" w:line="240" w:lineRule="auto"/>
              <w:jc w:val="right"/>
            </w:pPr>
            <w:r/>
            <w:r>
              <w:rPr>
                <w:color w:val="14213D"/>
                <w:sz w:val="16"/>
              </w:rPr>
              <w:t>17.24%</w:t>
            </w:r>
          </w:p>
        </w:tc>
        <w:tc>
          <w:tcPr>
            <w:tcW w:type="dxa" w:w="4082"/>
            <w:tcMar>
              <w:top w:w="50" w:type="dxa"/>
              <w:bottom w:w="50" w:type="dxa"/>
              <w:left w:w="80" w:type="dxa"/>
              <w:right w:w="80" w:type="dxa"/>
            </w:tcMar>
            <w:vAlign w:val="center"/>
            <w:shd w:fill="F8F4EB"/>
          </w:tcPr>
          <w:p>
            <w:pPr>
              <w:spacing w:after="0" w:before="0" w:line="240" w:lineRule="auto"/>
              <w:jc w:val="left"/>
            </w:pPr>
            <w:r/>
            <w:r>
              <w:rPr>
                <w:color w:val="14213D"/>
                <w:sz w:val="16"/>
              </w:rPr>
              <w:t>Black–Scholes</w:t>
            </w:r>
          </w:p>
        </w:tc>
      </w:tr>
      <w:tr>
        <w:trPr>
          <w:cantSplit/>
        </w:trPr>
        <w:tc>
          <w:tcPr>
            <w:tcW w:type="dxa" w:w="2835"/>
            <w:tcMar>
              <w:top w:w="50" w:type="dxa"/>
              <w:bottom w:w="50" w:type="dxa"/>
              <w:left w:w="80" w:type="dxa"/>
              <w:right w:w="80" w:type="dxa"/>
            </w:tcMar>
            <w:vAlign w:val="center"/>
          </w:tcPr>
          <w:p>
            <w:pPr>
              <w:spacing w:after="0" w:before="0" w:line="240" w:lineRule="auto"/>
              <w:jc w:val="left"/>
            </w:pPr>
            <w:r/>
            <w:r>
              <w:rPr>
                <w:b/>
                <w:color w:val="14213D"/>
                <w:sz w:val="16"/>
              </w:rPr>
              <w:t>130% call</w:t>
            </w:r>
          </w:p>
        </w:tc>
        <w:tc>
          <w:tcPr>
            <w:tcW w:type="dxa" w:w="1814"/>
            <w:tcMar>
              <w:top w:w="50" w:type="dxa"/>
              <w:bottom w:w="50" w:type="dxa"/>
              <w:left w:w="80" w:type="dxa"/>
              <w:right w:w="80" w:type="dxa"/>
            </w:tcMar>
            <w:vAlign w:val="center"/>
          </w:tcPr>
          <w:p>
            <w:pPr>
              <w:spacing w:after="0" w:before="0" w:line="240" w:lineRule="auto"/>
              <w:jc w:val="right"/>
            </w:pPr>
            <w:r/>
            <w:r>
              <w:rPr>
                <w:color w:val="14213D"/>
                <w:sz w:val="16"/>
              </w:rPr>
              <w:t>7.69%</w:t>
            </w:r>
          </w:p>
        </w:tc>
        <w:tc>
          <w:tcPr>
            <w:tcW w:type="dxa" w:w="4082"/>
            <w:tcMar>
              <w:top w:w="50" w:type="dxa"/>
              <w:bottom w:w="50" w:type="dxa"/>
              <w:left w:w="80" w:type="dxa"/>
              <w:right w:w="80" w:type="dxa"/>
            </w:tcMar>
            <w:vAlign w:val="center"/>
          </w:tcPr>
          <w:p>
            <w:pPr>
              <w:spacing w:after="0" w:before="0" w:line="240" w:lineRule="auto"/>
              <w:jc w:val="left"/>
            </w:pPr>
            <w:r/>
            <w:r>
              <w:rPr>
                <w:color w:val="14213D"/>
                <w:sz w:val="16"/>
              </w:rPr>
              <w:t>Black–Scholes</w:t>
            </w:r>
          </w:p>
        </w:tc>
      </w:tr>
      <w:tr>
        <w:trPr>
          <w:cantSplit/>
        </w:trPr>
        <w:tc>
          <w:tcPr>
            <w:tcW w:type="dxa" w:w="2835"/>
            <w:tcMar>
              <w:top w:w="50" w:type="dxa"/>
              <w:bottom w:w="50" w:type="dxa"/>
              <w:left w:w="80" w:type="dxa"/>
              <w:right w:w="80" w:type="dxa"/>
            </w:tcMar>
            <w:vAlign w:val="center"/>
            <w:shd w:fill="F8F4EB"/>
          </w:tcPr>
          <w:p>
            <w:pPr>
              <w:spacing w:after="0" w:before="0" w:line="240" w:lineRule="auto"/>
              <w:jc w:val="left"/>
            </w:pPr>
            <w:r/>
            <w:r>
              <w:rPr>
                <w:b/>
                <w:color w:val="14213D"/>
                <w:sz w:val="16"/>
              </w:rPr>
              <w:t>100–130% call spread</w:t>
            </w:r>
          </w:p>
        </w:tc>
        <w:tc>
          <w:tcPr>
            <w:tcW w:type="dxa" w:w="1814"/>
            <w:tcMar>
              <w:top w:w="50" w:type="dxa"/>
              <w:bottom w:w="50" w:type="dxa"/>
              <w:left w:w="80" w:type="dxa"/>
              <w:right w:w="80" w:type="dxa"/>
            </w:tcMar>
            <w:vAlign w:val="center"/>
            <w:shd w:fill="F8F4EB"/>
          </w:tcPr>
          <w:p>
            <w:pPr>
              <w:spacing w:after="0" w:before="0" w:line="240" w:lineRule="auto"/>
              <w:jc w:val="right"/>
            </w:pPr>
            <w:r/>
            <w:r>
              <w:rPr>
                <w:color w:val="14213D"/>
                <w:sz w:val="16"/>
              </w:rPr>
              <w:t>9.56%</w:t>
            </w:r>
          </w:p>
        </w:tc>
        <w:tc>
          <w:tcPr>
            <w:tcW w:type="dxa" w:w="4082"/>
            <w:tcMar>
              <w:top w:w="50" w:type="dxa"/>
              <w:bottom w:w="50" w:type="dxa"/>
              <w:left w:w="80" w:type="dxa"/>
              <w:right w:w="80" w:type="dxa"/>
            </w:tcMar>
            <w:vAlign w:val="center"/>
            <w:shd w:fill="F8F4EB"/>
          </w:tcPr>
          <w:p>
            <w:pPr>
              <w:spacing w:after="0" w:before="0" w:line="240" w:lineRule="auto"/>
              <w:jc w:val="left"/>
            </w:pPr>
            <w:r/>
            <w:r>
              <w:rPr>
                <w:color w:val="14213D"/>
                <w:sz w:val="16"/>
              </w:rPr>
              <w:t>100% call − 130% call</w:t>
            </w:r>
          </w:p>
        </w:tc>
      </w:tr>
      <w:tr>
        <w:trPr>
          <w:cantSplit/>
        </w:trPr>
        <w:tc>
          <w:tcPr>
            <w:tcW w:type="dxa" w:w="2835"/>
            <w:tcMar>
              <w:top w:w="50" w:type="dxa"/>
              <w:bottom w:w="50" w:type="dxa"/>
              <w:left w:w="80" w:type="dxa"/>
              <w:right w:w="80" w:type="dxa"/>
            </w:tcMar>
            <w:vAlign w:val="center"/>
          </w:tcPr>
          <w:p>
            <w:pPr>
              <w:spacing w:after="0" w:before="0" w:line="240" w:lineRule="auto"/>
              <w:jc w:val="left"/>
            </w:pPr>
            <w:r/>
            <w:r>
              <w:rPr>
                <w:b/>
                <w:color w:val="14213D"/>
                <w:sz w:val="16"/>
              </w:rPr>
              <w:t>Fair value</w:t>
            </w:r>
          </w:p>
        </w:tc>
        <w:tc>
          <w:tcPr>
            <w:tcW w:type="dxa" w:w="1814"/>
            <w:tcMar>
              <w:top w:w="50" w:type="dxa"/>
              <w:bottom w:w="50" w:type="dxa"/>
              <w:left w:w="80" w:type="dxa"/>
              <w:right w:w="80" w:type="dxa"/>
            </w:tcMar>
            <w:vAlign w:val="center"/>
          </w:tcPr>
          <w:p>
            <w:pPr>
              <w:spacing w:after="0" w:before="0" w:line="240" w:lineRule="auto"/>
              <w:jc w:val="right"/>
            </w:pPr>
            <w:r/>
            <w:r>
              <w:rPr>
                <w:color w:val="14213D"/>
                <w:sz w:val="16"/>
              </w:rPr>
              <w:t>99.05%</w:t>
            </w:r>
          </w:p>
        </w:tc>
        <w:tc>
          <w:tcPr>
            <w:tcW w:type="dxa" w:w="4082"/>
            <w:tcMar>
              <w:top w:w="50" w:type="dxa"/>
              <w:bottom w:w="50" w:type="dxa"/>
              <w:left w:w="80" w:type="dxa"/>
              <w:right w:w="80" w:type="dxa"/>
            </w:tcMar>
            <w:vAlign w:val="center"/>
          </w:tcPr>
          <w:p>
            <w:pPr>
              <w:spacing w:after="0" w:before="0" w:line="240" w:lineRule="auto"/>
              <w:jc w:val="left"/>
            </w:pPr>
            <w:r/>
            <w:r>
              <w:rPr>
                <w:color w:val="14213D"/>
                <w:sz w:val="16"/>
              </w:rPr>
              <w:t>Floor + call spread</w:t>
            </w:r>
          </w:p>
        </w:tc>
      </w:tr>
      <w:tr>
        <w:trPr>
          <w:cantSplit/>
        </w:trPr>
        <w:tc>
          <w:tcPr>
            <w:tcW w:type="dxa" w:w="2835"/>
            <w:tcMar>
              <w:top w:w="50" w:type="dxa"/>
              <w:bottom w:w="50" w:type="dxa"/>
              <w:left w:w="80" w:type="dxa"/>
              <w:right w:w="80" w:type="dxa"/>
            </w:tcMar>
            <w:vAlign w:val="center"/>
            <w:shd w:fill="F8F4EB"/>
          </w:tcPr>
          <w:p>
            <w:pPr>
              <w:spacing w:after="0" w:before="0" w:line="240" w:lineRule="auto"/>
              <w:jc w:val="left"/>
            </w:pPr>
            <w:r/>
            <w:r>
              <w:rPr>
                <w:b/>
                <w:color w:val="14213D"/>
                <w:sz w:val="16"/>
              </w:rPr>
              <w:t>Fees / margin</w:t>
            </w:r>
          </w:p>
        </w:tc>
        <w:tc>
          <w:tcPr>
            <w:tcW w:type="dxa" w:w="1814"/>
            <w:tcMar>
              <w:top w:w="50" w:type="dxa"/>
              <w:bottom w:w="50" w:type="dxa"/>
              <w:left w:w="80" w:type="dxa"/>
              <w:right w:w="80" w:type="dxa"/>
            </w:tcMar>
            <w:vAlign w:val="center"/>
            <w:shd w:fill="F8F4EB"/>
          </w:tcPr>
          <w:p>
            <w:pPr>
              <w:spacing w:after="0" w:before="0" w:line="240" w:lineRule="auto"/>
              <w:jc w:val="right"/>
            </w:pPr>
            <w:r/>
            <w:r>
              <w:rPr>
                <w:color w:val="14213D"/>
                <w:sz w:val="16"/>
              </w:rPr>
              <w:t>0.95%</w:t>
            </w:r>
          </w:p>
        </w:tc>
        <w:tc>
          <w:tcPr>
            <w:tcW w:type="dxa" w:w="4082"/>
            <w:tcMar>
              <w:top w:w="50" w:type="dxa"/>
              <w:bottom w:w="50" w:type="dxa"/>
              <w:left w:w="80" w:type="dxa"/>
              <w:right w:w="80" w:type="dxa"/>
            </w:tcMar>
            <w:vAlign w:val="center"/>
            <w:shd w:fill="F8F4EB"/>
          </w:tcPr>
          <w:p>
            <w:pPr>
              <w:spacing w:after="0" w:before="0" w:line="240" w:lineRule="auto"/>
              <w:jc w:val="left"/>
            </w:pPr>
            <w:r/>
            <w:r>
              <w:rPr>
                <w:color w:val="14213D"/>
                <w:sz w:val="16"/>
              </w:rPr>
              <w:t>Issue price 100 − fair value</w:t>
            </w:r>
          </w:p>
        </w:tc>
      </w:tr>
    </w:tbl>
    <w:p>
      <w:pPr>
        <w:spacing w:before="40" w:after="20"/>
      </w:pPr>
      <w:r>
        <w:rPr>
          <w:i/>
          <w:color w:val="7A8291"/>
          <w:sz w:val="16"/>
        </w:rPr>
        <w:t>Table 5. Indicative value of the 3-year SPX principal-protected note.</w:t>
      </w:r>
    </w:p>
    <w:p>
      <w:pPr>
        <w:spacing w:before="0" w:after="180"/>
      </w:pPr>
      <w:r>
        <w:rPr>
          <w:color w:val="7A8291"/>
          <w:sz w:val="15"/>
        </w:rPr>
        <w:t>The note is shown at 100% of notional. The 0.95% residual is not a recommendation; it is the difference between fair value and issue price.</w:t>
      </w:r>
    </w:p>
    <w:p>
      <w:pPr>
        <w:keepNext/>
        <w:spacing w:before="120" w:after="40"/>
        <w:jc w:val="center"/>
      </w:pPr>
      <w:r>
        <w:drawing>
          <wp:inline xmlns:a="http://schemas.openxmlformats.org/drawingml/2006/main" xmlns:pic="http://schemas.openxmlformats.org/drawingml/2006/picture">
            <wp:extent cx="5943600" cy="2932008"/>
            <wp:docPr id="7" name="Picture 7"/>
            <wp:cNvGraphicFramePr>
              <a:graphicFrameLocks noChangeAspect="1"/>
            </wp:cNvGraphicFramePr>
            <a:graphic>
              <a:graphicData uri="http://schemas.openxmlformats.org/drawingml/2006/picture">
                <pic:pic>
                  <pic:nvPicPr>
                    <pic:cNvPr id="0" name="fig_ppn.png"/>
                    <pic:cNvPicPr/>
                  </pic:nvPicPr>
                  <pic:blipFill>
                    <a:blip r:embed="rId16"/>
                    <a:stretch>
                      <a:fillRect/>
                    </a:stretch>
                  </pic:blipFill>
                  <pic:spPr>
                    <a:xfrm>
                      <a:off x="0" y="0"/>
                      <a:ext cx="5943600" cy="2932008"/>
                    </a:xfrm>
                    <a:prstGeom prst="rect"/>
                  </pic:spPr>
                </pic:pic>
              </a:graphicData>
            </a:graphic>
          </wp:inline>
        </w:drawing>
      </w:r>
    </w:p>
    <w:p>
      <w:pPr>
        <w:spacing w:before="40" w:after="20"/>
      </w:pPr>
      <w:r>
        <w:rPr>
          <w:i/>
          <w:color w:val="7A8291"/>
          <w:sz w:val="16"/>
        </w:rPr>
        <w:t>Figure 6. Payoff at maturity and the cost stack. The note is floored at 100% and capped at 130%; the call spread is the upside engine.</w:t>
      </w:r>
    </w:p>
    <w:p>
      <w:pPr>
        <w:spacing w:before="0" w:after="180"/>
      </w:pPr>
      <w:r>
        <w:rPr>
          <w:color w:val="7A8291"/>
          <w:sz w:val="15"/>
        </w:rPr>
        <w:t>Indicative Black–Scholes valuation, 17 Mar 2023. Not an offer; issuer credit risk is not priced here.</w:t>
      </w:r>
    </w:p>
    <w:p>
      <w:pPr>
        <w:pStyle w:val="Heading2"/>
        <w:keepNext/>
        <w:spacing w:before="240" w:after="80"/>
      </w:pPr>
      <w:r>
        <w:rPr>
          <w:rFonts w:ascii="Calibri" w:hAnsi="Calibri"/>
          <w:b/>
          <w:color w:val="2F6FED"/>
          <w:sz w:val="25"/>
        </w:rPr>
        <w:t>7.4  What strikes could be offered</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2835"/>
        <w:gridCol w:w="1304"/>
        <w:gridCol w:w="1587"/>
        <w:gridCol w:w="3005"/>
      </w:tblGrid>
      <w:tr>
        <w:trPr>
          <w:tblHeader w:val="true"/>
        </w:trPr>
        <w:tc>
          <w:tcPr>
            <w:tcW w:type="dxa" w:w="2835"/>
            <w:shd w:fill="14213D"/>
            <w:tcMar>
              <w:top w:w="50" w:type="dxa"/>
              <w:bottom w:w="50" w:type="dxa"/>
              <w:left w:w="80" w:type="dxa"/>
              <w:right w:w="80" w:type="dxa"/>
            </w:tcMar>
            <w:vAlign w:val="center"/>
          </w:tcPr>
          <w:p>
            <w:pPr>
              <w:jc w:val="left"/>
            </w:pPr>
            <w:r/>
            <w:r>
              <w:rPr>
                <w:b/>
                <w:color w:val="FFFFFF"/>
                <w:sz w:val="16"/>
              </w:rPr>
              <w:t>Structure</w:t>
            </w:r>
          </w:p>
        </w:tc>
        <w:tc>
          <w:tcPr>
            <w:tcW w:type="dxa" w:w="1304"/>
            <w:shd w:fill="14213D"/>
            <w:tcMar>
              <w:top w:w="50" w:type="dxa"/>
              <w:bottom w:w="50" w:type="dxa"/>
              <w:left w:w="80" w:type="dxa"/>
              <w:right w:w="80" w:type="dxa"/>
            </w:tcMar>
            <w:vAlign w:val="center"/>
          </w:tcPr>
          <w:p>
            <w:pPr>
              <w:jc w:val="right"/>
            </w:pPr>
            <w:r/>
            <w:r>
              <w:rPr>
                <w:b/>
                <w:color w:val="FFFFFF"/>
                <w:sz w:val="16"/>
              </w:rPr>
              <w:t>Cost</w:t>
            </w:r>
          </w:p>
        </w:tc>
        <w:tc>
          <w:tcPr>
            <w:tcW w:type="dxa" w:w="1587"/>
            <w:shd w:fill="14213D"/>
            <w:tcMar>
              <w:top w:w="50" w:type="dxa"/>
              <w:bottom w:w="50" w:type="dxa"/>
              <w:left w:w="80" w:type="dxa"/>
              <w:right w:w="80" w:type="dxa"/>
            </w:tcMar>
            <w:vAlign w:val="center"/>
          </w:tcPr>
          <w:p>
            <w:pPr>
              <w:jc w:val="right"/>
            </w:pPr>
            <w:r/>
            <w:r>
              <w:rPr>
                <w:b/>
                <w:color w:val="FFFFFF"/>
                <w:sz w:val="16"/>
              </w:rPr>
              <w:t>Participation*</w:t>
            </w:r>
          </w:p>
        </w:tc>
        <w:tc>
          <w:tcPr>
            <w:tcW w:type="dxa" w:w="3005"/>
            <w:shd w:fill="14213D"/>
            <w:tcMar>
              <w:top w:w="50" w:type="dxa"/>
              <w:bottom w:w="50" w:type="dxa"/>
              <w:left w:w="80" w:type="dxa"/>
              <w:right w:w="80" w:type="dxa"/>
            </w:tcMar>
            <w:vAlign w:val="center"/>
          </w:tcPr>
          <w:p>
            <w:pPr>
              <w:jc w:val="left"/>
            </w:pPr>
            <w:r/>
            <w:r>
              <w:rPr>
                <w:b/>
                <w:color w:val="FFFFFF"/>
                <w:sz w:val="16"/>
              </w:rPr>
              <w:t>Comment</w:t>
            </w:r>
          </w:p>
        </w:tc>
      </w:tr>
      <w:tr>
        <w:trPr>
          <w:cantSplit/>
        </w:trPr>
        <w:tc>
          <w:tcPr>
            <w:tcW w:type="dxa" w:w="2835"/>
            <w:tcMar>
              <w:top w:w="50" w:type="dxa"/>
              <w:bottom w:w="50" w:type="dxa"/>
              <w:left w:w="80" w:type="dxa"/>
              <w:right w:w="80" w:type="dxa"/>
            </w:tcMar>
            <w:vAlign w:val="center"/>
          </w:tcPr>
          <w:p>
            <w:pPr>
              <w:spacing w:after="0" w:before="0" w:line="240" w:lineRule="auto"/>
              <w:jc w:val="left"/>
            </w:pPr>
            <w:r/>
            <w:r>
              <w:rPr>
                <w:b/>
                <w:color w:val="14213D"/>
                <w:sz w:val="16"/>
              </w:rPr>
              <w:t>80–120% call spread</w:t>
            </w:r>
          </w:p>
        </w:tc>
        <w:tc>
          <w:tcPr>
            <w:tcW w:type="dxa" w:w="1304"/>
            <w:tcMar>
              <w:top w:w="50" w:type="dxa"/>
              <w:bottom w:w="50" w:type="dxa"/>
              <w:left w:w="80" w:type="dxa"/>
              <w:right w:w="80" w:type="dxa"/>
            </w:tcMar>
            <w:vAlign w:val="center"/>
          </w:tcPr>
          <w:p>
            <w:pPr>
              <w:spacing w:after="0" w:before="0" w:line="240" w:lineRule="auto"/>
              <w:jc w:val="right"/>
            </w:pPr>
            <w:r/>
            <w:r>
              <w:rPr>
                <w:color w:val="14213D"/>
                <w:sz w:val="16"/>
              </w:rPr>
              <w:t>17.90%</w:t>
            </w:r>
          </w:p>
        </w:tc>
        <w:tc>
          <w:tcPr>
            <w:tcW w:type="dxa" w:w="1587"/>
            <w:tcMar>
              <w:top w:w="50" w:type="dxa"/>
              <w:bottom w:w="50" w:type="dxa"/>
              <w:left w:w="80" w:type="dxa"/>
              <w:right w:w="80" w:type="dxa"/>
            </w:tcMar>
            <w:vAlign w:val="center"/>
          </w:tcPr>
          <w:p>
            <w:pPr>
              <w:spacing w:after="0" w:before="0" w:line="240" w:lineRule="auto"/>
              <w:jc w:val="right"/>
            </w:pPr>
            <w:r/>
            <w:r>
              <w:rPr>
                <w:color w:val="14213D"/>
                <w:sz w:val="16"/>
              </w:rPr>
              <w:t>59.0%</w:t>
            </w:r>
          </w:p>
        </w:tc>
        <w:tc>
          <w:tcPr>
            <w:tcW w:type="dxa" w:w="3005"/>
            <w:tcMar>
              <w:top w:w="50" w:type="dxa"/>
              <w:bottom w:w="50" w:type="dxa"/>
              <w:left w:w="80" w:type="dxa"/>
              <w:right w:w="80" w:type="dxa"/>
            </w:tcMar>
            <w:vAlign w:val="center"/>
          </w:tcPr>
          <w:p>
            <w:pPr>
              <w:spacing w:after="0" w:before="0" w:line="240" w:lineRule="auto"/>
              <w:jc w:val="left"/>
            </w:pPr>
            <w:r/>
            <w:r>
              <w:rPr>
                <w:color w:val="14213D"/>
                <w:sz w:val="16"/>
              </w:rPr>
              <w:t>wider strike range</w:t>
            </w:r>
          </w:p>
        </w:tc>
      </w:tr>
      <w:tr>
        <w:trPr>
          <w:cantSplit/>
        </w:trPr>
        <w:tc>
          <w:tcPr>
            <w:tcW w:type="dxa" w:w="2835"/>
            <w:tcMar>
              <w:top w:w="50" w:type="dxa"/>
              <w:bottom w:w="50" w:type="dxa"/>
              <w:left w:w="80" w:type="dxa"/>
              <w:right w:w="80" w:type="dxa"/>
            </w:tcMar>
            <w:vAlign w:val="center"/>
            <w:shd w:fill="F8F4EB"/>
          </w:tcPr>
          <w:p>
            <w:pPr>
              <w:spacing w:after="0" w:before="0" w:line="240" w:lineRule="auto"/>
              <w:jc w:val="left"/>
            </w:pPr>
            <w:r/>
            <w:r>
              <w:rPr>
                <w:b/>
                <w:color w:val="14213D"/>
                <w:sz w:val="16"/>
              </w:rPr>
              <w:t>100–125% call spread</w:t>
            </w:r>
          </w:p>
        </w:tc>
        <w:tc>
          <w:tcPr>
            <w:tcW w:type="dxa" w:w="1304"/>
            <w:tcMar>
              <w:top w:w="50" w:type="dxa"/>
              <w:bottom w:w="50" w:type="dxa"/>
              <w:left w:w="80" w:type="dxa"/>
              <w:right w:w="80" w:type="dxa"/>
            </w:tcMar>
            <w:vAlign w:val="center"/>
            <w:shd w:fill="F8F4EB"/>
          </w:tcPr>
          <w:p>
            <w:pPr>
              <w:spacing w:after="0" w:before="0" w:line="240" w:lineRule="auto"/>
              <w:jc w:val="right"/>
            </w:pPr>
            <w:r/>
            <w:r>
              <w:rPr>
                <w:color w:val="14213D"/>
                <w:sz w:val="16"/>
              </w:rPr>
              <w:t>8.41%</w:t>
            </w:r>
          </w:p>
        </w:tc>
        <w:tc>
          <w:tcPr>
            <w:tcW w:type="dxa" w:w="1587"/>
            <w:tcMar>
              <w:top w:w="50" w:type="dxa"/>
              <w:bottom w:w="50" w:type="dxa"/>
              <w:left w:w="80" w:type="dxa"/>
              <w:right w:w="80" w:type="dxa"/>
            </w:tcMar>
            <w:vAlign w:val="center"/>
            <w:shd w:fill="F8F4EB"/>
          </w:tcPr>
          <w:p>
            <w:pPr>
              <w:spacing w:after="0" w:before="0" w:line="240" w:lineRule="auto"/>
              <w:jc w:val="right"/>
            </w:pPr>
            <w:r/>
            <w:r>
              <w:rPr>
                <w:color w:val="14213D"/>
                <w:sz w:val="16"/>
              </w:rPr>
              <w:t>125.0%</w:t>
            </w:r>
          </w:p>
        </w:tc>
        <w:tc>
          <w:tcPr>
            <w:tcW w:type="dxa" w:w="3005"/>
            <w:tcMar>
              <w:top w:w="50" w:type="dxa"/>
              <w:bottom w:w="50" w:type="dxa"/>
              <w:left w:w="80" w:type="dxa"/>
              <w:right w:w="80" w:type="dxa"/>
            </w:tcMar>
            <w:vAlign w:val="center"/>
            <w:shd w:fill="F8F4EB"/>
          </w:tcPr>
          <w:p>
            <w:pPr>
              <w:spacing w:after="0" w:before="0" w:line="240" w:lineRule="auto"/>
              <w:jc w:val="left"/>
            </w:pPr>
            <w:r/>
            <w:r>
              <w:rPr>
                <w:color w:val="14213D"/>
                <w:sz w:val="16"/>
              </w:rPr>
              <w:t>higher participation, lower cap</w:t>
            </w:r>
          </w:p>
        </w:tc>
      </w:tr>
      <w:tr>
        <w:trPr>
          <w:cantSplit/>
        </w:trPr>
        <w:tc>
          <w:tcPr>
            <w:tcW w:type="dxa" w:w="2835"/>
            <w:tcMar>
              <w:top w:w="50" w:type="dxa"/>
              <w:bottom w:w="50" w:type="dxa"/>
              <w:left w:w="80" w:type="dxa"/>
              <w:right w:w="80" w:type="dxa"/>
            </w:tcMar>
            <w:vAlign w:val="center"/>
          </w:tcPr>
          <w:p>
            <w:pPr>
              <w:spacing w:after="0" w:before="0" w:line="240" w:lineRule="auto"/>
              <w:jc w:val="left"/>
            </w:pPr>
            <w:r/>
            <w:r>
              <w:rPr>
                <w:b/>
                <w:color w:val="14213D"/>
                <w:sz w:val="16"/>
              </w:rPr>
              <w:t>100–130% call spread</w:t>
            </w:r>
          </w:p>
        </w:tc>
        <w:tc>
          <w:tcPr>
            <w:tcW w:type="dxa" w:w="1304"/>
            <w:tcMar>
              <w:top w:w="50" w:type="dxa"/>
              <w:bottom w:w="50" w:type="dxa"/>
              <w:left w:w="80" w:type="dxa"/>
              <w:right w:w="80" w:type="dxa"/>
            </w:tcMar>
            <w:vAlign w:val="center"/>
          </w:tcPr>
          <w:p>
            <w:pPr>
              <w:spacing w:after="0" w:before="0" w:line="240" w:lineRule="auto"/>
              <w:jc w:val="right"/>
            </w:pPr>
            <w:r/>
            <w:r>
              <w:rPr>
                <w:color w:val="14213D"/>
                <w:sz w:val="16"/>
              </w:rPr>
              <w:t>9.56%</w:t>
            </w:r>
          </w:p>
        </w:tc>
        <w:tc>
          <w:tcPr>
            <w:tcW w:type="dxa" w:w="1587"/>
            <w:tcMar>
              <w:top w:w="50" w:type="dxa"/>
              <w:bottom w:w="50" w:type="dxa"/>
              <w:left w:w="80" w:type="dxa"/>
              <w:right w:w="80" w:type="dxa"/>
            </w:tcMar>
            <w:vAlign w:val="center"/>
          </w:tcPr>
          <w:p>
            <w:pPr>
              <w:spacing w:after="0" w:before="0" w:line="240" w:lineRule="auto"/>
              <w:jc w:val="right"/>
            </w:pPr>
            <w:r/>
            <w:r>
              <w:rPr>
                <w:color w:val="14213D"/>
                <w:sz w:val="16"/>
              </w:rPr>
              <w:t>110.0%</w:t>
            </w:r>
          </w:p>
        </w:tc>
        <w:tc>
          <w:tcPr>
            <w:tcW w:type="dxa" w:w="3005"/>
            <w:tcMar>
              <w:top w:w="50" w:type="dxa"/>
              <w:bottom w:w="50" w:type="dxa"/>
              <w:left w:w="80" w:type="dxa"/>
              <w:right w:w="80" w:type="dxa"/>
            </w:tcMar>
            <w:vAlign w:val="center"/>
          </w:tcPr>
          <w:p>
            <w:pPr>
              <w:spacing w:after="0" w:before="0" w:line="240" w:lineRule="auto"/>
              <w:jc w:val="left"/>
            </w:pPr>
            <w:r/>
            <w:r>
              <w:rPr>
                <w:color w:val="14213D"/>
                <w:sz w:val="16"/>
              </w:rPr>
              <w:t>base case: 100% participation, 130% cap</w:t>
            </w:r>
          </w:p>
        </w:tc>
      </w:tr>
      <w:tr>
        <w:trPr>
          <w:cantSplit/>
        </w:trPr>
        <w:tc>
          <w:tcPr>
            <w:tcW w:type="dxa" w:w="2835"/>
            <w:tcMar>
              <w:top w:w="50" w:type="dxa"/>
              <w:bottom w:w="50" w:type="dxa"/>
              <w:left w:w="80" w:type="dxa"/>
              <w:right w:w="80" w:type="dxa"/>
            </w:tcMar>
            <w:vAlign w:val="center"/>
            <w:shd w:fill="F8F4EB"/>
          </w:tcPr>
          <w:p>
            <w:pPr>
              <w:spacing w:after="0" w:before="0" w:line="240" w:lineRule="auto"/>
              <w:jc w:val="left"/>
            </w:pPr>
            <w:r/>
            <w:r>
              <w:rPr>
                <w:b/>
                <w:color w:val="14213D"/>
                <w:sz w:val="16"/>
              </w:rPr>
              <w:t>100–130% up-and-out call</w:t>
            </w:r>
          </w:p>
        </w:tc>
        <w:tc>
          <w:tcPr>
            <w:tcW w:type="dxa" w:w="1304"/>
            <w:tcMar>
              <w:top w:w="50" w:type="dxa"/>
              <w:bottom w:w="50" w:type="dxa"/>
              <w:left w:w="80" w:type="dxa"/>
              <w:right w:w="80" w:type="dxa"/>
            </w:tcMar>
            <w:vAlign w:val="center"/>
            <w:shd w:fill="F8F4EB"/>
          </w:tcPr>
          <w:p>
            <w:pPr>
              <w:spacing w:after="0" w:before="0" w:line="240" w:lineRule="auto"/>
              <w:jc w:val="right"/>
            </w:pPr>
            <w:r/>
            <w:r>
              <w:rPr>
                <w:color w:val="14213D"/>
                <w:sz w:val="16"/>
              </w:rPr>
              <w:t>0.90%</w:t>
            </w:r>
          </w:p>
        </w:tc>
        <w:tc>
          <w:tcPr>
            <w:tcW w:type="dxa" w:w="1587"/>
            <w:tcMar>
              <w:top w:w="50" w:type="dxa"/>
              <w:bottom w:w="50" w:type="dxa"/>
              <w:left w:w="80" w:type="dxa"/>
              <w:right w:w="80" w:type="dxa"/>
            </w:tcMar>
            <w:vAlign w:val="center"/>
            <w:shd w:fill="F8F4EB"/>
          </w:tcPr>
          <w:p>
            <w:pPr>
              <w:spacing w:after="0" w:before="0" w:line="240" w:lineRule="auto"/>
              <w:jc w:val="right"/>
            </w:pPr>
            <w:r/>
            <w:r>
              <w:rPr>
                <w:color w:val="14213D"/>
                <w:sz w:val="16"/>
              </w:rPr>
              <w:t>n.m.</w:t>
            </w:r>
          </w:p>
        </w:tc>
        <w:tc>
          <w:tcPr>
            <w:tcW w:type="dxa" w:w="3005"/>
            <w:tcMar>
              <w:top w:w="50" w:type="dxa"/>
              <w:bottom w:w="50" w:type="dxa"/>
              <w:left w:w="80" w:type="dxa"/>
              <w:right w:w="80" w:type="dxa"/>
            </w:tcMar>
            <w:vAlign w:val="center"/>
            <w:shd w:fill="F8F4EB"/>
          </w:tcPr>
          <w:p>
            <w:pPr>
              <w:spacing w:after="0" w:before="0" w:line="240" w:lineRule="auto"/>
              <w:jc w:val="left"/>
            </w:pPr>
            <w:r/>
            <w:r>
              <w:rPr>
                <w:color w:val="14213D"/>
                <w:sz w:val="16"/>
              </w:rPr>
              <w:t>~47% knock-out probability; principal still protected</w:t>
            </w:r>
          </w:p>
        </w:tc>
      </w:tr>
    </w:tbl>
    <w:p>
      <w:pPr>
        <w:spacing w:before="40" w:after="20"/>
      </w:pPr>
      <w:r>
        <w:rPr>
          <w:i/>
          <w:color w:val="7A8291"/>
          <w:sz w:val="16"/>
        </w:rPr>
        <w:t>Table 6. Strike alternatives at 22% volatility.</w:t>
      </w:r>
    </w:p>
    <w:p>
      <w:pPr>
        <w:spacing w:before="0" w:after="180"/>
      </w:pPr>
      <w:r>
        <w:rPr>
          <w:color w:val="7A8291"/>
          <w:sz w:val="15"/>
        </w:rPr>
        <w:t>*Affordable participation before fees: option budget 10.51% divided by structure cost. The chosen 100–130% call spread supports 110% before fees; the term sheet uses 100% participation and a 0.95% fee. “n.m.” = not meaningful for the up-and-out because of the barrier.</w:t>
      </w:r>
    </w:p>
    <w:p>
      <w:pPr>
        <w:spacing w:after="100" w:line="271" w:lineRule="auto"/>
      </w:pPr>
      <w:r>
        <w:rPr>
          <w:i w:val="0"/>
          <w:color w:val="2D3648"/>
          <w:sz w:val="20"/>
        </w:rPr>
        <w:t>The up-and-out alternative is instructive. A 100% strike, 130% barrier up-and-out call costs only 0.90% of notional at 22% volatility, because it knocks out in about 47% of simulated paths. A headline participation number would be misleading: in the knockout states the note returns only principal. The call spread is simpler to explain and has no path-dependent barrier risk, which is why it is the recommended structure for a retail-style PPN.</w:t>
      </w:r>
    </w:p>
    <w:p>
      <w:pPr>
        <w:pStyle w:val="Heading2"/>
        <w:keepNext/>
        <w:spacing w:before="240" w:after="80"/>
      </w:pPr>
      <w:r>
        <w:rPr>
          <w:rFonts w:ascii="Calibri" w:hAnsi="Calibri"/>
          <w:b/>
          <w:color w:val="2F6FED"/>
          <w:sz w:val="25"/>
        </w:rPr>
        <w:t>7.5  Indicative term sheet</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2608"/>
        <w:gridCol w:w="6236"/>
      </w:tblGrid>
      <w:tr>
        <w:trPr>
          <w:tblHeader w:val="true"/>
        </w:trPr>
        <w:tc>
          <w:tcPr>
            <w:tcW w:type="dxa" w:w="2608"/>
            <w:shd w:fill="14213D"/>
            <w:tcMar>
              <w:top w:w="50" w:type="dxa"/>
              <w:bottom w:w="50" w:type="dxa"/>
              <w:left w:w="80" w:type="dxa"/>
              <w:right w:w="80" w:type="dxa"/>
            </w:tcMar>
            <w:vAlign w:val="center"/>
          </w:tcPr>
          <w:p>
            <w:pPr>
              <w:jc w:val="left"/>
            </w:pPr>
            <w:r/>
            <w:r>
              <w:rPr>
                <w:b/>
                <w:color w:val="FFFFFF"/>
                <w:sz w:val="16"/>
              </w:rPr>
              <w:t>Term</w:t>
            </w:r>
          </w:p>
        </w:tc>
        <w:tc>
          <w:tcPr>
            <w:tcW w:type="dxa" w:w="6236"/>
            <w:shd w:fill="14213D"/>
            <w:tcMar>
              <w:top w:w="50" w:type="dxa"/>
              <w:bottom w:w="50" w:type="dxa"/>
              <w:left w:w="80" w:type="dxa"/>
              <w:right w:w="80" w:type="dxa"/>
            </w:tcMar>
            <w:vAlign w:val="center"/>
          </w:tcPr>
          <w:p>
            <w:pPr>
              <w:jc w:val="left"/>
            </w:pPr>
            <w:r/>
            <w:r>
              <w:rPr>
                <w:b/>
                <w:color w:val="FFFFFF"/>
                <w:sz w:val="16"/>
              </w:rPr>
              <w:t>Indicative term</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Issuer</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SPV / issuer (not specified)</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Issue date</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17 March 2023</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Maturity</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17 March 2026</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Underlying</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S&amp;P 500 Index (SPX)</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Notional</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USD 1,000,000</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Issue price</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100%</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Principal protection</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100% at maturity, subject to issuer credit risk</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Participation</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100%</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Cap</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130% of initial level</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Strikes</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100% / 130% call spread, European</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Initial level</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3,916.64</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Settlement</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Cash; max(100%, 100% + 100% × max(0, min(S_T/S₀, 1.30) − 1.00))</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Fees</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0.95% included in issue price</w:t>
            </w:r>
          </w:p>
        </w:tc>
      </w:tr>
      <w:tr>
        <w:trPr>
          <w:cantSplit/>
        </w:trPr>
        <w:tc>
          <w:tcPr>
            <w:tcW w:type="dxa" w:w="2608"/>
            <w:tcMar>
              <w:top w:w="50" w:type="dxa"/>
              <w:bottom w:w="50" w:type="dxa"/>
              <w:left w:w="80" w:type="dxa"/>
              <w:right w:w="80" w:type="dxa"/>
            </w:tcMar>
            <w:vAlign w:val="center"/>
            <w:shd w:fill="F8F4EB"/>
          </w:tcPr>
          <w:p>
            <w:pPr>
              <w:spacing w:after="0" w:before="0" w:line="240" w:lineRule="auto"/>
              <w:jc w:val="left"/>
            </w:pPr>
            <w:r/>
            <w:r>
              <w:rPr>
                <w:b/>
                <w:color w:val="14213D"/>
                <w:sz w:val="16"/>
              </w:rPr>
              <w:t>Listing / secondary</w:t>
            </w:r>
          </w:p>
        </w:tc>
        <w:tc>
          <w:tcPr>
            <w:tcW w:type="dxa" w:w="6236"/>
            <w:tcMar>
              <w:top w:w="50" w:type="dxa"/>
              <w:bottom w:w="50" w:type="dxa"/>
              <w:left w:w="80" w:type="dxa"/>
              <w:right w:w="80" w:type="dxa"/>
            </w:tcMar>
            <w:vAlign w:val="center"/>
            <w:shd w:fill="F8F4EB"/>
          </w:tcPr>
          <w:p>
            <w:pPr>
              <w:spacing w:after="0" w:before="0" w:line="240" w:lineRule="auto"/>
              <w:jc w:val="left"/>
            </w:pPr>
            <w:r/>
            <w:r>
              <w:rPr>
                <w:color w:val="14213D"/>
                <w:sz w:val="16"/>
              </w:rPr>
              <w:t>None / indicative, issuer may provide</w:t>
            </w:r>
          </w:p>
        </w:tc>
      </w:tr>
      <w:tr>
        <w:trPr>
          <w:cantSplit/>
        </w:trPr>
        <w:tc>
          <w:tcPr>
            <w:tcW w:type="dxa" w:w="2608"/>
            <w:tcMar>
              <w:top w:w="50" w:type="dxa"/>
              <w:bottom w:w="50" w:type="dxa"/>
              <w:left w:w="80" w:type="dxa"/>
              <w:right w:w="80" w:type="dxa"/>
            </w:tcMar>
            <w:vAlign w:val="center"/>
          </w:tcPr>
          <w:p>
            <w:pPr>
              <w:spacing w:after="0" w:before="0" w:line="240" w:lineRule="auto"/>
              <w:jc w:val="left"/>
            </w:pPr>
            <w:r/>
            <w:r>
              <w:rPr>
                <w:b/>
                <w:color w:val="14213D"/>
                <w:sz w:val="16"/>
              </w:rPr>
              <w:t>Credit risk</w:t>
            </w:r>
          </w:p>
        </w:tc>
        <w:tc>
          <w:tcPr>
            <w:tcW w:type="dxa" w:w="6236"/>
            <w:tcMar>
              <w:top w:w="50" w:type="dxa"/>
              <w:bottom w:w="50" w:type="dxa"/>
              <w:left w:w="80" w:type="dxa"/>
              <w:right w:w="80" w:type="dxa"/>
            </w:tcMar>
            <w:vAlign w:val="center"/>
          </w:tcPr>
          <w:p>
            <w:pPr>
              <w:spacing w:after="0" w:before="0" w:line="240" w:lineRule="auto"/>
              <w:jc w:val="left"/>
            </w:pPr>
            <w:r/>
            <w:r>
              <w:rPr>
                <w:color w:val="14213D"/>
                <w:sz w:val="16"/>
              </w:rPr>
              <w:t>Issuer / guarantor</w:t>
            </w:r>
          </w:p>
        </w:tc>
      </w:tr>
    </w:tbl>
    <w:p>
      <w:pPr>
        <w:spacing w:before="40" w:after="20"/>
      </w:pPr>
      <w:r>
        <w:rPr>
          <w:i/>
          <w:color w:val="7A8291"/>
          <w:sz w:val="16"/>
        </w:rPr>
        <w:t>Table 7. Indicative term sheet. For discussion only; not an offer or a commitment to trade.</w:t>
      </w:r>
    </w:p>
    <w:p>
      <w:pPr>
        <w:spacing w:before="0" w:after="180"/>
      </w:pPr>
      <w:r>
        <w:rPr>
          <w:color w:val="7A8291"/>
          <w:sz w:val="15"/>
        </w:rPr>
        <w:t>The payoff is principal-protected at maturity but is subject to the issuer’s credit risk. Secondary market prices may be below issue price.</w:t>
      </w:r>
    </w:p>
    <w:p>
      <w:pPr>
        <w:pStyle w:val="Heading2"/>
        <w:keepNext/>
        <w:spacing w:before="240" w:after="80"/>
      </w:pPr>
      <w:r>
        <w:rPr>
          <w:rFonts w:ascii="Calibri" w:hAnsi="Calibri"/>
          <w:b/>
          <w:color w:val="2F6FED"/>
          <w:sz w:val="25"/>
        </w:rPr>
        <w:t>7.6  Risks</w:t>
      </w:r>
    </w:p>
    <w:p>
      <w:pPr>
        <w:pStyle w:val="ListBullet"/>
        <w:spacing w:after="60" w:line="264" w:lineRule="auto"/>
      </w:pPr>
      <w:r>
        <w:rPr>
          <w:color w:val="2D3648"/>
          <w:sz w:val="20"/>
        </w:rPr>
        <w:t>Issuer credit risk: the principal protection is only as good as the issuer. A default can result in a loss of principal.</w:t>
      </w:r>
    </w:p>
    <w:p>
      <w:pPr>
        <w:pStyle w:val="ListBullet"/>
        <w:spacing w:after="60" w:line="264" w:lineRule="auto"/>
      </w:pPr>
      <w:r>
        <w:rPr>
          <w:color w:val="2D3648"/>
          <w:sz w:val="20"/>
        </w:rPr>
        <w:t>Capped upside: the investor gives up index returns above 130%. In a strong bull market, the note will underperform a direct index investment.</w:t>
      </w:r>
    </w:p>
    <w:p>
      <w:pPr>
        <w:pStyle w:val="ListBullet"/>
        <w:spacing w:after="60" w:line="264" w:lineRule="auto"/>
      </w:pPr>
      <w:r>
        <w:rPr>
          <w:color w:val="2D3648"/>
          <w:sz w:val="20"/>
        </w:rPr>
        <w:t>No dividends: the note does not receive SPX dividends. The dividend yield assumption is embedded in the pricing.</w:t>
      </w:r>
    </w:p>
    <w:p>
      <w:pPr>
        <w:pStyle w:val="ListBullet"/>
        <w:spacing w:after="60" w:line="264" w:lineRule="auto"/>
      </w:pPr>
      <w:r>
        <w:rPr>
          <w:color w:val="2D3648"/>
          <w:sz w:val="20"/>
        </w:rPr>
        <w:t>Secondary market risk: the note may be illiquid, and early sale may be at a discount to fair value.</w:t>
      </w:r>
    </w:p>
    <w:p>
      <w:pPr>
        <w:pStyle w:val="ListBullet"/>
        <w:spacing w:after="60" w:line="264" w:lineRule="auto"/>
      </w:pPr>
      <w:r>
        <w:rPr>
          <w:color w:val="2D3648"/>
          <w:sz w:val="20"/>
        </w:rPr>
        <w:t>Model risk: the indicative value depends on the volatility, rate and dividend assumptions. A change in volatility changes the cost of the call spread and therefore the feasible participation.</w:t>
      </w:r>
    </w:p>
    <w:p>
      <w:r>
        <w:br w:type="page"/>
      </w:r>
    </w:p>
    <w:p>
      <w:pPr>
        <w:spacing w:before="200" w:after="40"/>
      </w:pPr>
      <w:r>
        <w:rPr>
          <w:rFonts w:ascii="Calibri" w:hAnsi="Calibri"/>
          <w:b/>
          <w:color w:val="2F6FED"/>
          <w:sz w:val="16"/>
          <w:spacing w:val="28"/>
        </w:rPr>
        <w:t>TABLES, DATA NOTES AND REFERENCES</w:t>
      </w:r>
    </w:p>
    <w:p>
      <w:pPr>
        <w:pStyle w:val="Heading1"/>
        <w:keepNext/>
        <w:spacing w:before="0" w:after="160"/>
      </w:pPr>
      <w:r>
        <w:rPr>
          <w:rFonts w:ascii="Georgia" w:hAnsi="Georgia"/>
          <w:color w:val="14213D"/>
          <w:sz w:val="44"/>
        </w:rPr>
        <w:t>Appendix</w:t>
      </w:r>
    </w:p>
    <w:p>
      <w:pPr>
        <w:spacing w:before="0" w:after="180"/>
        <w:pBdr>
          <w:bottom w:val="single" w:sz="6" w:space="1" w:color="C9C1B2"/>
        </w:pBdr>
      </w:pPr>
    </w:p>
    <w:p>
      <w:pPr>
        <w:pStyle w:val="Heading2"/>
        <w:keepNext/>
        <w:spacing w:before="240" w:after="80"/>
      </w:pPr>
      <w:r>
        <w:rPr>
          <w:rFonts w:ascii="Calibri" w:hAnsi="Calibri"/>
          <w:b/>
          <w:color w:val="2F6FED"/>
          <w:sz w:val="25"/>
        </w:rPr>
        <w:t>A.1  Full PCA loadings</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1701"/>
        <w:gridCol w:w="2268"/>
        <w:gridCol w:w="2268"/>
        <w:gridCol w:w="2268"/>
      </w:tblGrid>
      <w:tr>
        <w:trPr>
          <w:tblHeader w:val="true"/>
        </w:trPr>
        <w:tc>
          <w:tcPr>
            <w:tcW w:type="dxa" w:w="1701"/>
            <w:shd w:fill="14213D"/>
            <w:tcMar>
              <w:top w:w="50" w:type="dxa"/>
              <w:bottom w:w="50" w:type="dxa"/>
              <w:left w:w="80" w:type="dxa"/>
              <w:right w:w="80" w:type="dxa"/>
            </w:tcMar>
            <w:vAlign w:val="center"/>
          </w:tcPr>
          <w:p>
            <w:pPr>
              <w:jc w:val="left"/>
            </w:pPr>
            <w:r/>
            <w:r>
              <w:rPr>
                <w:b/>
                <w:color w:val="FFFFFF"/>
                <w:sz w:val="16"/>
              </w:rPr>
              <w:t>Tenor</w:t>
            </w:r>
          </w:p>
        </w:tc>
        <w:tc>
          <w:tcPr>
            <w:tcW w:type="dxa" w:w="2268"/>
            <w:shd w:fill="14213D"/>
            <w:tcMar>
              <w:top w:w="50" w:type="dxa"/>
              <w:bottom w:w="50" w:type="dxa"/>
              <w:left w:w="80" w:type="dxa"/>
              <w:right w:w="80" w:type="dxa"/>
            </w:tcMar>
            <w:vAlign w:val="center"/>
          </w:tcPr>
          <w:p>
            <w:pPr>
              <w:jc w:val="right"/>
            </w:pPr>
            <w:r/>
            <w:r>
              <w:rPr>
                <w:b/>
                <w:color w:val="FFFFFF"/>
                <w:sz w:val="16"/>
              </w:rPr>
              <w:t>PC1</w:t>
            </w:r>
          </w:p>
        </w:tc>
        <w:tc>
          <w:tcPr>
            <w:tcW w:type="dxa" w:w="2268"/>
            <w:shd w:fill="14213D"/>
            <w:tcMar>
              <w:top w:w="50" w:type="dxa"/>
              <w:bottom w:w="50" w:type="dxa"/>
              <w:left w:w="80" w:type="dxa"/>
              <w:right w:w="80" w:type="dxa"/>
            </w:tcMar>
            <w:vAlign w:val="center"/>
          </w:tcPr>
          <w:p>
            <w:pPr>
              <w:jc w:val="right"/>
            </w:pPr>
            <w:r/>
            <w:r>
              <w:rPr>
                <w:b/>
                <w:color w:val="FFFFFF"/>
                <w:sz w:val="16"/>
              </w:rPr>
              <w:t>PC2</w:t>
            </w:r>
          </w:p>
        </w:tc>
        <w:tc>
          <w:tcPr>
            <w:tcW w:type="dxa" w:w="2268"/>
            <w:shd w:fill="14213D"/>
            <w:tcMar>
              <w:top w:w="50" w:type="dxa"/>
              <w:bottom w:w="50" w:type="dxa"/>
              <w:left w:w="80" w:type="dxa"/>
              <w:right w:w="80" w:type="dxa"/>
            </w:tcMar>
            <w:vAlign w:val="center"/>
          </w:tcPr>
          <w:p>
            <w:pPr>
              <w:jc w:val="right"/>
            </w:pPr>
            <w:r/>
            <w:r>
              <w:rPr>
                <w:b/>
                <w:color w:val="FFFFFF"/>
                <w:sz w:val="16"/>
              </w:rPr>
              <w:t>PC3</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3M</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0.180</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-0.553</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0.564</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6M</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0.210</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-0.475</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0.166</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1Y</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0.258</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-0.366</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-0.145</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2Y</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0.340</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-0.181</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-0.421</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3Y</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0.367</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-0.072</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-0.368</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5Y</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0.387</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0.095</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-0.195</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7Y</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0.385</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0.190</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-0.020</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10Y</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0.359</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0.233</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0.122</w:t>
            </w:r>
          </w:p>
        </w:tc>
      </w:tr>
      <w:tr>
        <w:trPr>
          <w:cantSplit/>
        </w:trPr>
        <w:tc>
          <w:tcPr>
            <w:tcW w:type="dxa" w:w="1701"/>
            <w:tcMar>
              <w:top w:w="50" w:type="dxa"/>
              <w:bottom w:w="50" w:type="dxa"/>
              <w:left w:w="80" w:type="dxa"/>
              <w:right w:w="80" w:type="dxa"/>
            </w:tcMar>
            <w:vAlign w:val="center"/>
          </w:tcPr>
          <w:p>
            <w:pPr>
              <w:spacing w:after="0" w:before="0" w:line="240" w:lineRule="auto"/>
              <w:jc w:val="left"/>
            </w:pPr>
            <w:r/>
            <w:r>
              <w:rPr>
                <w:b/>
                <w:color w:val="14213D"/>
                <w:sz w:val="16"/>
              </w:rPr>
              <w:t>20Y</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0.309</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0.315</w:t>
            </w:r>
          </w:p>
        </w:tc>
        <w:tc>
          <w:tcPr>
            <w:tcW w:type="dxa" w:w="2268"/>
            <w:tcMar>
              <w:top w:w="50" w:type="dxa"/>
              <w:bottom w:w="50" w:type="dxa"/>
              <w:left w:w="80" w:type="dxa"/>
              <w:right w:w="80" w:type="dxa"/>
            </w:tcMar>
            <w:vAlign w:val="center"/>
          </w:tcPr>
          <w:p>
            <w:pPr>
              <w:spacing w:after="0" w:before="0" w:line="240" w:lineRule="auto"/>
              <w:jc w:val="right"/>
            </w:pPr>
            <w:r/>
            <w:r>
              <w:rPr>
                <w:color w:val="14213D"/>
                <w:sz w:val="16"/>
              </w:rPr>
              <w:t>0.340</w:t>
            </w:r>
          </w:p>
        </w:tc>
      </w:tr>
      <w:tr>
        <w:trPr>
          <w:cantSplit/>
        </w:trPr>
        <w:tc>
          <w:tcPr>
            <w:tcW w:type="dxa" w:w="1701"/>
            <w:tcMar>
              <w:top w:w="50" w:type="dxa"/>
              <w:bottom w:w="50" w:type="dxa"/>
              <w:left w:w="80" w:type="dxa"/>
              <w:right w:w="80" w:type="dxa"/>
            </w:tcMar>
            <w:vAlign w:val="center"/>
            <w:shd w:fill="F8F4EB"/>
          </w:tcPr>
          <w:p>
            <w:pPr>
              <w:spacing w:after="0" w:before="0" w:line="240" w:lineRule="auto"/>
              <w:jc w:val="left"/>
            </w:pPr>
            <w:r/>
            <w:r>
              <w:rPr>
                <w:b/>
                <w:color w:val="14213D"/>
                <w:sz w:val="16"/>
              </w:rPr>
              <w:t>30Y</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0.291</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0.313</w:t>
            </w:r>
          </w:p>
        </w:tc>
        <w:tc>
          <w:tcPr>
            <w:tcW w:type="dxa" w:w="2268"/>
            <w:tcMar>
              <w:top w:w="50" w:type="dxa"/>
              <w:bottom w:w="50" w:type="dxa"/>
              <w:left w:w="80" w:type="dxa"/>
              <w:right w:w="80" w:type="dxa"/>
            </w:tcMar>
            <w:vAlign w:val="center"/>
            <w:shd w:fill="F8F4EB"/>
          </w:tcPr>
          <w:p>
            <w:pPr>
              <w:spacing w:after="0" w:before="0" w:line="240" w:lineRule="auto"/>
              <w:jc w:val="right"/>
            </w:pPr>
            <w:r/>
            <w:r>
              <w:rPr>
                <w:color w:val="14213D"/>
                <w:sz w:val="16"/>
              </w:rPr>
              <w:t>0.389</w:t>
            </w:r>
          </w:p>
        </w:tc>
      </w:tr>
    </w:tbl>
    <w:p>
      <w:pPr>
        <w:spacing w:before="40" w:after="20"/>
      </w:pPr>
      <w:r>
        <w:rPr>
          <w:i/>
          <w:color w:val="7A8291"/>
          <w:sz w:val="16"/>
        </w:rPr>
        <w:t>Table A1. Full loading matrix. Columns are orthonormal; the square of each column sums to one.</w:t>
      </w:r>
    </w:p>
    <w:p>
      <w:pPr>
        <w:spacing w:before="0" w:after="180"/>
      </w:pPr>
      <w:r>
        <w:rPr>
          <w:color w:val="7A8291"/>
          <w:sz w:val="15"/>
        </w:rPr>
        <w:t>Estimated from daily changes, 4 Oct 1993 – 8 Mar 2023.</w:t>
      </w:r>
    </w:p>
    <w:p>
      <w:pPr>
        <w:pStyle w:val="Heading2"/>
        <w:keepNext/>
        <w:spacing w:before="240" w:after="80"/>
      </w:pPr>
      <w:r>
        <w:rPr>
          <w:rFonts w:ascii="Calibri" w:hAnsi="Calibri"/>
          <w:b/>
          <w:color w:val="2F6FED"/>
          <w:sz w:val="25"/>
        </w:rPr>
        <w:t>A.2  Data notes</w:t>
      </w:r>
    </w:p>
    <w:p>
      <w:pPr>
        <w:spacing w:after="100" w:line="271" w:lineRule="auto"/>
      </w:pPr>
      <w:r>
        <w:rPr>
          <w:i w:val="0"/>
          <w:color w:val="2D3648"/>
          <w:sz w:val="20"/>
        </w:rPr>
        <w:t>Treasury par yields are constant-maturity, coupon-bearing par yields, not zero-coupon yields. The 20Y tenor begins in October 1993. The 30Y was discontinued between 2002 and 2006; complete-case estimation therefore omits those dates. The event data are the 4 p.m. Treasury par yield curve rates. The VIX is the CBOE close; the S&amp;P 500 is the daily close from S&amp;P Dow Jones Indices via FRED. All calculations are in Python (pandas, NumPy); the website uses only vanilla JavaScript.</w:t>
      </w:r>
    </w:p>
    <w:p>
      <w:pPr>
        <w:spacing w:after="100" w:line="271" w:lineRule="auto"/>
      </w:pPr>
      <w:r>
        <w:rPr>
          <w:i w:val="0"/>
          <w:color w:val="2D3648"/>
          <w:sz w:val="20"/>
        </w:rPr>
        <w:t>The PCA is estimated on daily first differences. The covariance matrix is not standardised. Signs are chosen for readability: PC1 all-positive (level), PC2 long-end positive (steepener), PC3 5Y negative (twist). The event scores are projections of the cumulative 9→17 March change onto the pre-event loadings. The fit is the sum of the three contributions; the residual is actual minus fit.</w:t>
      </w:r>
    </w:p>
    <w:p>
      <w:pPr>
        <w:pStyle w:val="Heading2"/>
        <w:keepNext/>
        <w:spacing w:before="240" w:after="80"/>
      </w:pPr>
      <w:r>
        <w:rPr>
          <w:rFonts w:ascii="Calibri" w:hAnsi="Calibri"/>
          <w:b/>
          <w:color w:val="2F6FED"/>
          <w:sz w:val="25"/>
        </w:rPr>
        <w:t>A.3  References</w:t>
      </w:r>
    </w:p>
    <w:p>
      <w:pPr>
        <w:spacing w:after="80"/>
        <w:ind w:left="340" w:hanging="340"/>
      </w:pPr>
      <w:r>
        <w:rPr>
          <w:b/>
          <w:color w:val="2F6FED"/>
          <w:sz w:val="16"/>
        </w:rPr>
        <w:t xml:space="preserve">[1]  </w:t>
      </w:r>
      <w:r>
        <w:rPr>
          <w:color w:val="5C677D"/>
          <w:sz w:val="16"/>
        </w:rPr>
        <w:t>US Department of the Treasury. Daily Treasury Par Yield Curve Rates. https://home.treasury.gov/resource-center/data-chart-center/interest-rates/TextView?type=daily_treasury_yield_curve</w:t>
      </w:r>
    </w:p>
    <w:p>
      <w:pPr>
        <w:spacing w:after="80"/>
        <w:ind w:left="340" w:hanging="340"/>
      </w:pPr>
      <w:r>
        <w:rPr>
          <w:b/>
          <w:color w:val="2F6FED"/>
          <w:sz w:val="16"/>
        </w:rPr>
        <w:t xml:space="preserve">[2]  </w:t>
      </w:r>
      <w:r>
        <w:rPr>
          <w:color w:val="5C677D"/>
          <w:sz w:val="16"/>
        </w:rPr>
        <w:t>Board of Governors of the Federal Reserve System. “Joint Statement by Treasury, Federal Reserve, and FDIC,” 12 March 2023. https://www.federalreserve.gov/newsevents/pressreleases/monetary20230312b.htm</w:t>
      </w:r>
    </w:p>
    <w:p>
      <w:pPr>
        <w:spacing w:after="80"/>
        <w:ind w:left="340" w:hanging="340"/>
      </w:pPr>
      <w:r>
        <w:rPr>
          <w:b/>
          <w:color w:val="2F6FED"/>
          <w:sz w:val="16"/>
        </w:rPr>
        <w:t xml:space="preserve">[3]  </w:t>
      </w:r>
      <w:r>
        <w:rPr>
          <w:color w:val="5C677D"/>
          <w:sz w:val="16"/>
        </w:rPr>
        <w:t>FDIC. “FDIC Creates a Deposit Insurance National Bank of Santa Clara to Protect Insured Depositors of Silicon Valley Bank,” 10 March 2023. https://www.fdic.gov/news/press-releases/2023/pr23016.html</w:t>
      </w:r>
    </w:p>
    <w:p>
      <w:pPr>
        <w:spacing w:after="80"/>
        <w:ind w:left="340" w:hanging="340"/>
      </w:pPr>
      <w:r>
        <w:rPr>
          <w:b/>
          <w:color w:val="2F6FED"/>
          <w:sz w:val="16"/>
        </w:rPr>
        <w:t xml:space="preserve">[4]  </w:t>
      </w:r>
      <w:r>
        <w:rPr>
          <w:color w:val="5C677D"/>
          <w:sz w:val="16"/>
        </w:rPr>
        <w:t>CNBC. “Treasury yields dip as investors consider outlook for bank stocks, monetary policy,” 17 March 2023. https://www.cnbc.com/2023/03/17/us-treasury-yields-investors-consider-outlook-for-bank-stocks.html</w:t>
      </w:r>
    </w:p>
    <w:p>
      <w:pPr>
        <w:spacing w:after="80"/>
        <w:ind w:left="340" w:hanging="340"/>
      </w:pPr>
      <w:r>
        <w:rPr>
          <w:b/>
          <w:color w:val="2F6FED"/>
          <w:sz w:val="16"/>
        </w:rPr>
        <w:t xml:space="preserve">[5]  </w:t>
      </w:r>
      <w:r>
        <w:rPr>
          <w:color w:val="5C677D"/>
          <w:sz w:val="16"/>
        </w:rPr>
        <w:t>BIS. “Christine Lagarde: ECB press conference — introductory statement,” 16 March 2023. https://www.bis.org/review/r230316h.htm</w:t>
      </w:r>
    </w:p>
    <w:p>
      <w:pPr>
        <w:spacing w:after="80"/>
        <w:ind w:left="340" w:hanging="340"/>
      </w:pPr>
      <w:r>
        <w:rPr>
          <w:b/>
          <w:color w:val="2F6FED"/>
          <w:sz w:val="16"/>
        </w:rPr>
        <w:t xml:space="preserve">[6]  </w:t>
      </w:r>
      <w:r>
        <w:rPr>
          <w:color w:val="5C677D"/>
          <w:sz w:val="16"/>
        </w:rPr>
        <w:t>US Bureau of Labor Statistics. “Consumer Price Index — February 2023,” 14 March 2023. https://www.bls.gov/news.release/archives/cpi_03142023.htm</w:t>
      </w:r>
    </w:p>
    <w:p>
      <w:pPr>
        <w:spacing w:after="80"/>
        <w:ind w:left="340" w:hanging="340"/>
      </w:pPr>
      <w:r>
        <w:rPr>
          <w:b/>
          <w:color w:val="2F6FED"/>
          <w:sz w:val="16"/>
        </w:rPr>
        <w:t xml:space="preserve">[7]  </w:t>
      </w:r>
      <w:r>
        <w:rPr>
          <w:color w:val="5C677D"/>
          <w:sz w:val="16"/>
        </w:rPr>
        <w:t>CBOE. VIX historical data. https://www.cboe.com/tradable_products/vix/vix_historical_data/</w:t>
      </w:r>
    </w:p>
    <w:p>
      <w:pPr>
        <w:spacing w:after="80"/>
        <w:ind w:left="340" w:hanging="340"/>
      </w:pPr>
      <w:r>
        <w:rPr>
          <w:b/>
          <w:color w:val="2F6FED"/>
          <w:sz w:val="16"/>
        </w:rPr>
        <w:t xml:space="preserve">[8]  </w:t>
      </w:r>
      <w:r>
        <w:rPr>
          <w:color w:val="5C677D"/>
          <w:sz w:val="16"/>
        </w:rPr>
        <w:t>Federal Reserve Bank of St. Louis (FRED). S&amp;P 500 (SP500). https://fred.stlouisfed.org/series/SP500</w:t>
      </w:r>
    </w:p>
    <w:p>
      <w:pPr>
        <w:spacing w:after="80"/>
        <w:ind w:left="340" w:hanging="340"/>
      </w:pPr>
      <w:r>
        <w:rPr>
          <w:b/>
          <w:color w:val="2F6FED"/>
          <w:sz w:val="16"/>
        </w:rPr>
        <w:t xml:space="preserve">[9]  </w:t>
      </w:r>
      <w:r>
        <w:rPr>
          <w:color w:val="5C677D"/>
          <w:sz w:val="16"/>
        </w:rPr>
        <w:t>Litterman, R. and Scheinkman, J. (1991). “Common Factors Affecting Bond Returns.” Journal of Fixed Income, 1(1), 54–61.</w:t>
      </w:r>
    </w:p>
    <w:p>
      <w:pPr>
        <w:pStyle w:val="Heading2"/>
        <w:keepNext/>
        <w:spacing w:before="240" w:after="80"/>
      </w:pPr>
      <w:r>
        <w:rPr>
          <w:rFonts w:ascii="Calibri" w:hAnsi="Calibri"/>
          <w:b/>
          <w:color w:val="2F6FED"/>
          <w:sz w:val="25"/>
        </w:rPr>
        <w:t>A.4  Files</w:t>
      </w:r>
    </w:p>
    <w:tbl>
      <w:tblPr>
        <w:tblW w:type="auto" w:w="0"/>
        <w:jc w:val="center"/>
        <w:tblLayout w:type="fixed"/>
        <w:tblLook w:firstColumn="1" w:firstRow="1" w:lastColumn="0" w:lastRow="0" w:noHBand="0" w:noVBand="1" w:val="04A0"/>
        <w:tblBorders>
          <w:top w:val="single" w:sz="4" w:space="0" w:color="D8D4CA"/>
          <w:left w:val="single" w:sz="4" w:space="0" w:color="D8D4CA"/>
          <w:bottom w:val="single" w:sz="4" w:space="0" w:color="D8D4CA"/>
          <w:right w:val="single" w:sz="4" w:space="0" w:color="D8D4CA"/>
          <w:insideH w:val="single" w:sz="4" w:space="0" w:color="D8D4CA"/>
          <w:insideV w:val="single" w:sz="4" w:space="0" w:color="D8D4CA"/>
        </w:tblBorders>
        <w:tblLayout w:type="fixed"/>
      </w:tblPr>
      <w:tblGrid>
        <w:gridCol w:w="3969"/>
        <w:gridCol w:w="4876"/>
      </w:tblGrid>
      <w:tr>
        <w:trPr>
          <w:tblHeader w:val="true"/>
        </w:trPr>
        <w:tc>
          <w:tcPr>
            <w:tcW w:type="dxa" w:w="3969"/>
            <w:shd w:fill="14213D"/>
            <w:tcMar>
              <w:top w:w="50" w:type="dxa"/>
              <w:bottom w:w="50" w:type="dxa"/>
              <w:left w:w="80" w:type="dxa"/>
              <w:right w:w="80" w:type="dxa"/>
            </w:tcMar>
            <w:vAlign w:val="center"/>
          </w:tcPr>
          <w:p>
            <w:pPr>
              <w:jc w:val="left"/>
            </w:pPr>
            <w:r/>
            <w:r>
              <w:rPr>
                <w:b/>
                <w:color w:val="FFFFFF"/>
                <w:sz w:val="16"/>
              </w:rPr>
              <w:t>Path</w:t>
            </w:r>
          </w:p>
        </w:tc>
        <w:tc>
          <w:tcPr>
            <w:tcW w:type="dxa" w:w="4876"/>
            <w:shd w:fill="14213D"/>
            <w:tcMar>
              <w:top w:w="50" w:type="dxa"/>
              <w:bottom w:w="50" w:type="dxa"/>
              <w:left w:w="80" w:type="dxa"/>
              <w:right w:w="80" w:type="dxa"/>
            </w:tcMar>
            <w:vAlign w:val="center"/>
          </w:tcPr>
          <w:p>
            <w:pPr>
              <w:jc w:val="left"/>
            </w:pPr>
            <w:r/>
            <w:r>
              <w:rPr>
                <w:b/>
                <w:color w:val="FFFFFF"/>
                <w:sz w:val="16"/>
              </w:rPr>
              <w:t>Contents</w:t>
            </w:r>
          </w:p>
        </w:tc>
      </w:tr>
      <w:tr>
        <w:trPr>
          <w:cantSplit/>
        </w:trPr>
        <w:tc>
          <w:tcPr>
            <w:tcW w:type="dxa" w:w="3969"/>
            <w:tcMar>
              <w:top w:w="50" w:type="dxa"/>
              <w:bottom w:w="50" w:type="dxa"/>
              <w:left w:w="80" w:type="dxa"/>
              <w:right w:w="80" w:type="dxa"/>
            </w:tcMar>
            <w:vAlign w:val="center"/>
          </w:tcPr>
          <w:p>
            <w:pPr>
              <w:spacing w:after="0" w:before="0" w:line="240" w:lineRule="auto"/>
              <w:jc w:val="left"/>
            </w:pPr>
            <w:r/>
            <w:r>
              <w:rPr>
                <w:b/>
                <w:color w:val="14213D"/>
                <w:sz w:val="16"/>
              </w:rPr>
              <w:t>index.html</w:t>
            </w:r>
          </w:p>
        </w:tc>
        <w:tc>
          <w:tcPr>
            <w:tcW w:type="dxa" w:w="4876"/>
            <w:tcMar>
              <w:top w:w="50" w:type="dxa"/>
              <w:bottom w:w="50" w:type="dxa"/>
              <w:left w:w="80" w:type="dxa"/>
              <w:right w:w="80" w:type="dxa"/>
            </w:tcMar>
            <w:vAlign w:val="center"/>
          </w:tcPr>
          <w:p>
            <w:pPr>
              <w:spacing w:after="0" w:before="0" w:line="240" w:lineRule="auto"/>
              <w:jc w:val="left"/>
            </w:pPr>
            <w:r/>
            <w:r>
              <w:rPr>
                <w:color w:val="14213D"/>
                <w:sz w:val="16"/>
              </w:rPr>
              <w:t>Interactive three-factor curve toy</w:t>
            </w:r>
          </w:p>
        </w:tc>
      </w:tr>
      <w:tr>
        <w:trPr>
          <w:cantSplit/>
        </w:trPr>
        <w:tc>
          <w:tcPr>
            <w:tcW w:type="dxa" w:w="3969"/>
            <w:tcMar>
              <w:top w:w="50" w:type="dxa"/>
              <w:bottom w:w="50" w:type="dxa"/>
              <w:left w:w="80" w:type="dxa"/>
              <w:right w:w="80" w:type="dxa"/>
            </w:tcMar>
            <w:vAlign w:val="center"/>
            <w:shd w:fill="F8F4EB"/>
          </w:tcPr>
          <w:p>
            <w:pPr>
              <w:spacing w:after="0" w:before="0" w:line="240" w:lineRule="auto"/>
              <w:jc w:val="left"/>
            </w:pPr>
            <w:r/>
            <w:r>
              <w:rPr>
                <w:b/>
                <w:color w:val="14213D"/>
                <w:sz w:val="16"/>
              </w:rPr>
              <w:t>assets/style.css, assets/app.js</w:t>
            </w:r>
          </w:p>
        </w:tc>
        <w:tc>
          <w:tcPr>
            <w:tcW w:type="dxa" w:w="4876"/>
            <w:tcMar>
              <w:top w:w="50" w:type="dxa"/>
              <w:bottom w:w="50" w:type="dxa"/>
              <w:left w:w="80" w:type="dxa"/>
              <w:right w:w="80" w:type="dxa"/>
            </w:tcMar>
            <w:vAlign w:val="center"/>
            <w:shd w:fill="F8F4EB"/>
          </w:tcPr>
          <w:p>
            <w:pPr>
              <w:spacing w:after="0" w:before="0" w:line="240" w:lineRule="auto"/>
              <w:jc w:val="left"/>
            </w:pPr>
            <w:r/>
            <w:r>
              <w:rPr>
                <w:color w:val="14213D"/>
                <w:sz w:val="16"/>
              </w:rPr>
              <w:t>Styling and interactions</w:t>
            </w:r>
          </w:p>
        </w:tc>
      </w:tr>
      <w:tr>
        <w:trPr>
          <w:cantSplit/>
        </w:trPr>
        <w:tc>
          <w:tcPr>
            <w:tcW w:type="dxa" w:w="3969"/>
            <w:tcMar>
              <w:top w:w="50" w:type="dxa"/>
              <w:bottom w:w="50" w:type="dxa"/>
              <w:left w:w="80" w:type="dxa"/>
              <w:right w:w="80" w:type="dxa"/>
            </w:tcMar>
            <w:vAlign w:val="center"/>
          </w:tcPr>
          <w:p>
            <w:pPr>
              <w:spacing w:after="0" w:before="0" w:line="240" w:lineRule="auto"/>
              <w:jc w:val="left"/>
            </w:pPr>
            <w:r/>
            <w:r>
              <w:rPr>
                <w:b/>
                <w:color w:val="14213D"/>
                <w:sz w:val="16"/>
              </w:rPr>
              <w:t>data/curve_data.js</w:t>
            </w:r>
          </w:p>
        </w:tc>
        <w:tc>
          <w:tcPr>
            <w:tcW w:type="dxa" w:w="4876"/>
            <w:tcMar>
              <w:top w:w="50" w:type="dxa"/>
              <w:bottom w:w="50" w:type="dxa"/>
              <w:left w:w="80" w:type="dxa"/>
              <w:right w:w="80" w:type="dxa"/>
            </w:tcMar>
            <w:vAlign w:val="center"/>
          </w:tcPr>
          <w:p>
            <w:pPr>
              <w:spacing w:after="0" w:before="0" w:line="240" w:lineRule="auto"/>
              <w:jc w:val="left"/>
            </w:pPr>
            <w:r/>
            <w:r>
              <w:rPr>
                <w:color w:val="14213D"/>
                <w:sz w:val="16"/>
              </w:rPr>
              <w:t>Loadings, base/event curves and event data</w:t>
            </w:r>
          </w:p>
        </w:tc>
      </w:tr>
      <w:tr>
        <w:trPr>
          <w:cantSplit/>
        </w:trPr>
        <w:tc>
          <w:tcPr>
            <w:tcW w:type="dxa" w:w="3969"/>
            <w:tcMar>
              <w:top w:w="50" w:type="dxa"/>
              <w:bottom w:w="50" w:type="dxa"/>
              <w:left w:w="80" w:type="dxa"/>
              <w:right w:w="80" w:type="dxa"/>
            </w:tcMar>
            <w:vAlign w:val="center"/>
            <w:shd w:fill="F8F4EB"/>
          </w:tcPr>
          <w:p>
            <w:pPr>
              <w:spacing w:after="0" w:before="0" w:line="240" w:lineRule="auto"/>
              <w:jc w:val="left"/>
            </w:pPr>
            <w:r/>
            <w:r>
              <w:rPr>
                <w:b/>
                <w:color w:val="14213D"/>
                <w:sz w:val="16"/>
              </w:rPr>
              <w:t>data/curve_data.json</w:t>
            </w:r>
          </w:p>
        </w:tc>
        <w:tc>
          <w:tcPr>
            <w:tcW w:type="dxa" w:w="4876"/>
            <w:tcMar>
              <w:top w:w="50" w:type="dxa"/>
              <w:bottom w:w="50" w:type="dxa"/>
              <w:left w:w="80" w:type="dxa"/>
              <w:right w:w="80" w:type="dxa"/>
            </w:tcMar>
            <w:vAlign w:val="center"/>
            <w:shd w:fill="F8F4EB"/>
          </w:tcPr>
          <w:p>
            <w:pPr>
              <w:spacing w:after="0" w:before="0" w:line="240" w:lineRule="auto"/>
              <w:jc w:val="left"/>
            </w:pPr>
            <w:r/>
            <w:r>
              <w:rPr>
                <w:color w:val="14213D"/>
                <w:sz w:val="16"/>
              </w:rPr>
              <w:t>Same data in JSON</w:t>
            </w:r>
          </w:p>
        </w:tc>
      </w:tr>
      <w:tr>
        <w:trPr>
          <w:cantSplit/>
        </w:trPr>
        <w:tc>
          <w:tcPr>
            <w:tcW w:type="dxa" w:w="3969"/>
            <w:tcMar>
              <w:top w:w="50" w:type="dxa"/>
              <w:bottom w:w="50" w:type="dxa"/>
              <w:left w:w="80" w:type="dxa"/>
              <w:right w:w="80" w:type="dxa"/>
            </w:tcMar>
            <w:vAlign w:val="center"/>
          </w:tcPr>
          <w:p>
            <w:pPr>
              <w:spacing w:after="0" w:before="0" w:line="240" w:lineRule="auto"/>
              <w:jc w:val="left"/>
            </w:pPr>
            <w:r/>
            <w:r>
              <w:rPr>
                <w:b/>
                <w:color w:val="14213D"/>
                <w:sz w:val="16"/>
              </w:rPr>
              <w:t>analysis/pca_yield_curve.py</w:t>
            </w:r>
          </w:p>
        </w:tc>
        <w:tc>
          <w:tcPr>
            <w:tcW w:type="dxa" w:w="4876"/>
            <w:tcMar>
              <w:top w:w="50" w:type="dxa"/>
              <w:bottom w:w="50" w:type="dxa"/>
              <w:left w:w="80" w:type="dxa"/>
              <w:right w:w="80" w:type="dxa"/>
            </w:tcMar>
            <w:vAlign w:val="center"/>
          </w:tcPr>
          <w:p>
            <w:pPr>
              <w:spacing w:after="0" w:before="0" w:line="240" w:lineRule="auto"/>
              <w:jc w:val="left"/>
            </w:pPr>
            <w:r/>
            <w:r>
              <w:rPr>
                <w:color w:val="14213D"/>
                <w:sz w:val="16"/>
              </w:rPr>
              <w:t>PCA, decomposition and report figures</w:t>
            </w:r>
          </w:p>
        </w:tc>
      </w:tr>
      <w:tr>
        <w:trPr>
          <w:cantSplit/>
        </w:trPr>
        <w:tc>
          <w:tcPr>
            <w:tcW w:type="dxa" w:w="3969"/>
            <w:tcMar>
              <w:top w:w="50" w:type="dxa"/>
              <w:bottom w:w="50" w:type="dxa"/>
              <w:left w:w="80" w:type="dxa"/>
              <w:right w:w="80" w:type="dxa"/>
            </w:tcMar>
            <w:vAlign w:val="center"/>
            <w:shd w:fill="F8F4EB"/>
          </w:tcPr>
          <w:p>
            <w:pPr>
              <w:spacing w:after="0" w:before="0" w:line="240" w:lineRule="auto"/>
              <w:jc w:val="left"/>
            </w:pPr>
            <w:r/>
            <w:r>
              <w:rPr>
                <w:b/>
                <w:color w:val="14213D"/>
                <w:sz w:val="16"/>
              </w:rPr>
              <w:t>analysis/ppn_pricing.py</w:t>
            </w:r>
          </w:p>
        </w:tc>
        <w:tc>
          <w:tcPr>
            <w:tcW w:type="dxa" w:w="4876"/>
            <w:tcMar>
              <w:top w:w="50" w:type="dxa"/>
              <w:bottom w:w="50" w:type="dxa"/>
              <w:left w:w="80" w:type="dxa"/>
              <w:right w:w="80" w:type="dxa"/>
            </w:tcMar>
            <w:vAlign w:val="center"/>
            <w:shd w:fill="F8F4EB"/>
          </w:tcPr>
          <w:p>
            <w:pPr>
              <w:spacing w:after="0" w:before="0" w:line="240" w:lineRule="auto"/>
              <w:jc w:val="left"/>
            </w:pPr>
            <w:r/>
            <w:r>
              <w:rPr>
                <w:color w:val="14213D"/>
                <w:sz w:val="16"/>
              </w:rPr>
              <w:t>Optional PPN pricing and payoff chart</w:t>
            </w:r>
          </w:p>
        </w:tc>
      </w:tr>
      <w:tr>
        <w:trPr>
          <w:cantSplit/>
        </w:trPr>
        <w:tc>
          <w:tcPr>
            <w:tcW w:type="dxa" w:w="3969"/>
            <w:tcMar>
              <w:top w:w="50" w:type="dxa"/>
              <w:bottom w:w="50" w:type="dxa"/>
              <w:left w:w="80" w:type="dxa"/>
              <w:right w:w="80" w:type="dxa"/>
            </w:tcMar>
            <w:vAlign w:val="center"/>
          </w:tcPr>
          <w:p>
            <w:pPr>
              <w:spacing w:after="0" w:before="0" w:line="240" w:lineRule="auto"/>
              <w:jc w:val="left"/>
            </w:pPr>
            <w:r/>
            <w:r>
              <w:rPr>
                <w:b/>
                <w:color w:val="14213D"/>
                <w:sz w:val="16"/>
              </w:rPr>
              <w:t>report/figures/</w:t>
            </w:r>
          </w:p>
        </w:tc>
        <w:tc>
          <w:tcPr>
            <w:tcW w:type="dxa" w:w="4876"/>
            <w:tcMar>
              <w:top w:w="50" w:type="dxa"/>
              <w:bottom w:w="50" w:type="dxa"/>
              <w:left w:w="80" w:type="dxa"/>
              <w:right w:w="80" w:type="dxa"/>
            </w:tcMar>
            <w:vAlign w:val="center"/>
          </w:tcPr>
          <w:p>
            <w:pPr>
              <w:spacing w:after="0" w:before="0" w:line="240" w:lineRule="auto"/>
              <w:jc w:val="left"/>
            </w:pPr>
            <w:r/>
            <w:r>
              <w:rPr>
                <w:color w:val="14213D"/>
                <w:sz w:val="16"/>
              </w:rPr>
              <w:t>Report figures (PNG, 220 dpi)</w:t>
            </w:r>
          </w:p>
        </w:tc>
      </w:tr>
      <w:tr>
        <w:trPr>
          <w:cantSplit/>
        </w:trPr>
        <w:tc>
          <w:tcPr>
            <w:tcW w:type="dxa" w:w="3969"/>
            <w:tcMar>
              <w:top w:w="50" w:type="dxa"/>
              <w:bottom w:w="50" w:type="dxa"/>
              <w:left w:w="80" w:type="dxa"/>
              <w:right w:w="80" w:type="dxa"/>
            </w:tcMar>
            <w:vAlign w:val="center"/>
            <w:shd w:fill="F8F4EB"/>
          </w:tcPr>
          <w:p>
            <w:pPr>
              <w:spacing w:after="0" w:before="0" w:line="240" w:lineRule="auto"/>
              <w:jc w:val="left"/>
            </w:pPr>
            <w:r/>
            <w:r>
              <w:rPr>
                <w:b/>
                <w:color w:val="14213D"/>
                <w:sz w:val="16"/>
              </w:rPr>
              <w:t>report/tables/</w:t>
            </w:r>
          </w:p>
        </w:tc>
        <w:tc>
          <w:tcPr>
            <w:tcW w:type="dxa" w:w="4876"/>
            <w:tcMar>
              <w:top w:w="50" w:type="dxa"/>
              <w:bottom w:w="50" w:type="dxa"/>
              <w:left w:w="80" w:type="dxa"/>
              <w:right w:w="80" w:type="dxa"/>
            </w:tcMar>
            <w:vAlign w:val="center"/>
            <w:shd w:fill="F8F4EB"/>
          </w:tcPr>
          <w:p>
            <w:pPr>
              <w:spacing w:after="0" w:before="0" w:line="240" w:lineRule="auto"/>
              <w:jc w:val="left"/>
            </w:pPr>
            <w:r/>
            <w:r>
              <w:rPr>
                <w:color w:val="14213D"/>
                <w:sz w:val="16"/>
              </w:rPr>
              <w:t>Event decomposition, loadings and PPN tables (CSV)</w:t>
            </w:r>
          </w:p>
        </w:tc>
      </w:tr>
    </w:tbl>
    <w:p>
      <w:pPr>
        <w:spacing w:before="40" w:after="20"/>
      </w:pPr>
      <w:r>
        <w:rPr>
          <w:i/>
          <w:color w:val="7A8291"/>
          <w:sz w:val="16"/>
        </w:rPr>
        <w:t>Table A2. Submission files.</w:t>
      </w:r>
    </w:p>
    <w:p>
      <w:pPr>
        <w:spacing w:before="0" w:after="180"/>
      </w:pPr>
      <w:r>
        <w:rPr>
          <w:color w:val="7A8291"/>
          <w:sz w:val="15"/>
        </w:rPr>
        <w:t>The site is static; publish the folder root on GitHub Pages and open index.html.</w:t>
      </w:r>
    </w:p>
    <w:sectPr w:rsidR="00FC693F" w:rsidRPr="0006063C" w:rsidSect="00034616">
      <w:headerReference w:type="default" r:id="rId9"/>
      <w:footerReference w:type="default" r:id="rId10"/>
      <w:pgSz w:w="11906" w:h="16838"/>
      <w:pgMar w:top="1134" w:right="1247" w:bottom="1077"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291"/>
        <w:sz w:val="15"/>
      </w:rPr>
      <w:t xml:space="preserve">Page </w:t>
    </w:r>
    <w:r>
      <w:fldChar w:fldCharType="begin"/>
      <w:instrText xml:space="preserve"> PAGE </w:instrText>
      <w:fldChar w:fldCharType="separate"/>
      <w:t>1</w:t>
      <w:fldChar w:fldCharType="end"/>
    </w:r>
    <w:r>
      <w:rPr>
        <w:color w:val="7A8291"/>
        <w:sz w:val="15"/>
      </w:rPr>
      <w:t xml:space="preserve">  ·  Educational analysis,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4" w:space="4" w:color="D8D4CA"/>
      </w:pBdr>
    </w:pPr>
    <w:r>
      <w:rPr>
        <w:b/>
        <w:color w:val="7A8291"/>
        <w:sz w:val="15"/>
      </w:rPr>
      <w:t>The Curve in Three Moves</w:t>
    </w:r>
    <w:r>
      <w:rPr>
        <w:color w:val="7A8291"/>
        <w:sz w:val="15"/>
      </w:rPr>
      <w:tab/>
      <w:t>FINA4340A · Yield Curve PCA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color w:val="2D36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1421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F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Curve in Three Moves</dc:title>
  <dc:subject>PCA of the US Treasury yield curve and the March 2023 move</dc:subject>
  <dc:creator>Marcus Chan</dc:creator>
  <cp:keywords>PCA, yield curve, Treasury, SVB, structured products</cp:keywords>
  <dc:description>generated by python-docx</dc:description>
  <cp:lastModifiedBy/>
  <cp:revision>1</cp:revision>
  <dcterms:created xsi:type="dcterms:W3CDTF">2013-12-23T23:15:00Z</dcterms:created>
  <dcterms:modified xsi:type="dcterms:W3CDTF">2013-12-23T23:15:00Z</dcterms:modified>
  <cp:category/>
</cp:coreProperties>
</file>