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
        </w:rPr>
      </w:pPr>
      <w:r>
        <w:rPr>
          <w:rFonts w:hint="eastAsia"/>
          <w:lang w:val="en"/>
        </w:rPr>
        <w:t>Data Processing Addendum</w:t>
      </w:r>
    </w:p>
    <w:p>
      <w:pPr>
        <w:pStyle w:val="8"/>
        <w:rPr>
          <w:rFonts w:hint="eastAsia"/>
          <w:lang w:val="en"/>
        </w:rPr>
      </w:pPr>
      <w:r>
        <w:rPr>
          <w:rFonts w:hint="eastAsia"/>
          <w:lang w:val="en"/>
        </w:rPr>
        <w:t>This Data Processing Addendum (“DPA”) supplements the Terms of Service (the “Agreement”) entered into by and between the customer signing this DPA (“Customer”) and chatbond.co, Inc. (“Company”) By executing the DPA in accordance with Section 11 herein, Customer enters into this DPA on behalf of itself and, to the extent required under applicable Data Protection Laws (defined below). This DPA incorporates the terms of the Agreement, and any terms not defined in this DPA shall have the meaning set forth in the Agreement.</w:t>
      </w:r>
    </w:p>
    <w:p>
      <w:pPr>
        <w:pStyle w:val="4"/>
        <w:numPr>
          <w:ilvl w:val="0"/>
          <w:numId w:val="1"/>
        </w:numPr>
        <w:rPr>
          <w:rFonts w:hint="eastAsia"/>
          <w:lang w:val="en"/>
        </w:rPr>
      </w:pPr>
      <w:r>
        <w:rPr>
          <w:rFonts w:hint="eastAsia"/>
          <w:lang w:val="en"/>
        </w:rPr>
        <w:t>Definitions</w:t>
      </w:r>
    </w:p>
    <w:p>
      <w:pPr>
        <w:pStyle w:val="8"/>
        <w:numPr>
          <w:ilvl w:val="1"/>
          <w:numId w:val="1"/>
        </w:numPr>
        <w:rPr>
          <w:rFonts w:hint="eastAsia"/>
          <w:lang w:val="en"/>
        </w:rPr>
      </w:pPr>
      <w:r>
        <w:rPr>
          <w:rFonts w:hint="eastAsia"/>
          <w:lang w:val="en"/>
        </w:rPr>
        <w:t>“Authorized Sub-Processor” means a third-party who has a need to know or otherwise access Customer’s Personal Data to enable Company to perform its obligations under this DPA or the Agreement, and who is either (1) listed in Exhibit B or (2) subsequently authorized under Section 4.2 of this DPA.</w:t>
      </w:r>
    </w:p>
    <w:p>
      <w:pPr>
        <w:pStyle w:val="8"/>
        <w:numPr>
          <w:ilvl w:val="1"/>
          <w:numId w:val="1"/>
        </w:numPr>
        <w:rPr>
          <w:rFonts w:hint="eastAsia"/>
          <w:lang w:val="en"/>
        </w:rPr>
      </w:pPr>
      <w:r>
        <w:rPr>
          <w:rFonts w:hint="eastAsia"/>
          <w:lang w:val="en"/>
        </w:rPr>
        <w:t>“Company Account Data” means personal data that relates to Company’s relationship with Customer, including the names or contact information of individuals authorized by Customer to access Customer’s account and billing information of individuals that Customer has associated with its account. Company Account Data also includes any data Company may need to collect for the purpose of managing its relationship with Customer, identity verification, or as otherwise required by applicable laws and regulations.</w:t>
      </w:r>
    </w:p>
    <w:p>
      <w:pPr>
        <w:pStyle w:val="8"/>
        <w:numPr>
          <w:ilvl w:val="1"/>
          <w:numId w:val="1"/>
        </w:numPr>
        <w:rPr>
          <w:rFonts w:hint="eastAsia"/>
          <w:lang w:val="en"/>
        </w:rPr>
      </w:pPr>
      <w:r>
        <w:rPr>
          <w:rFonts w:hint="eastAsia"/>
          <w:lang w:val="en"/>
        </w:rPr>
        <w:t>“Company Usage Data” means Service usage data collected and processed by Company in connection with the provision of the Services, including without limitation data used to identify the source and destination of a communication, activity logs, and data used to optimize and maintain performance of the Services, and to investigate and prevent system abuse.</w:t>
      </w:r>
    </w:p>
    <w:p>
      <w:pPr>
        <w:pStyle w:val="8"/>
        <w:numPr>
          <w:ilvl w:val="1"/>
          <w:numId w:val="1"/>
        </w:numPr>
        <w:rPr>
          <w:rFonts w:hint="eastAsia"/>
          <w:lang w:val="en"/>
        </w:rPr>
      </w:pPr>
      <w:r>
        <w:rPr>
          <w:rFonts w:hint="eastAsia"/>
          <w:lang w:val="en"/>
        </w:rPr>
        <w:t>“Data Exporter” means Customer.</w:t>
      </w:r>
    </w:p>
    <w:p>
      <w:pPr>
        <w:pStyle w:val="8"/>
        <w:numPr>
          <w:ilvl w:val="1"/>
          <w:numId w:val="1"/>
        </w:numPr>
        <w:rPr>
          <w:rFonts w:hint="eastAsia"/>
          <w:lang w:val="en"/>
        </w:rPr>
      </w:pPr>
      <w:r>
        <w:rPr>
          <w:rFonts w:hint="eastAsia"/>
          <w:lang w:val="en"/>
        </w:rPr>
        <w:t>“Data Importer” means Company. </w:t>
      </w:r>
    </w:p>
    <w:p>
      <w:pPr>
        <w:pStyle w:val="8"/>
        <w:numPr>
          <w:ilvl w:val="1"/>
          <w:numId w:val="1"/>
        </w:numPr>
        <w:rPr>
          <w:rFonts w:hint="eastAsia"/>
          <w:lang w:val="en"/>
        </w:rPr>
      </w:pPr>
      <w:r>
        <w:rPr>
          <w:rFonts w:hint="eastAsia"/>
          <w:lang w:val="en"/>
        </w:rPr>
        <w:t>“Data Protection Laws” means any applicable laws and regulations in any relevant jurisdiction relating to the use or processing of Personal Data including: (i) the California Consumer Privacy Act (“CCPA”), (ii) the Swiss Federal Act on Data Protection.</w:t>
      </w:r>
    </w:p>
    <w:p>
      <w:pPr>
        <w:pStyle w:val="4"/>
        <w:numPr>
          <w:ilvl w:val="0"/>
          <w:numId w:val="1"/>
        </w:numPr>
        <w:rPr>
          <w:rFonts w:hint="eastAsia"/>
          <w:lang w:val="en"/>
        </w:rPr>
      </w:pPr>
      <w:r>
        <w:rPr>
          <w:rFonts w:hint="eastAsia"/>
          <w:lang w:val="en"/>
        </w:rPr>
        <w:t>Relationship of the Parties; Processing of Data</w:t>
      </w:r>
    </w:p>
    <w:p>
      <w:pPr>
        <w:pStyle w:val="8"/>
        <w:numPr>
          <w:ilvl w:val="1"/>
          <w:numId w:val="1"/>
        </w:numPr>
        <w:rPr>
          <w:rFonts w:hint="eastAsia"/>
          <w:lang w:val="en"/>
        </w:rPr>
      </w:pPr>
      <w:r>
        <w:rPr>
          <w:rFonts w:hint="eastAsia"/>
          <w:lang w:val="en"/>
        </w:rPr>
        <w:t>The parties acknowledge and agree that with regard to the processing of Personal Data, Customer may act either as a controller or processor and, except as expressly set forth in this DPA or the Agreement, Company is a processor. Customer shall, in its use of the Services, at all times process Personal Data, and provide instructions for the processing of Personal Data, in compliance with Data Protection Laws. Customer shall ensure that the processing of Personal Data in accordance with Customer’s instructions will not cause Company to be in breach of the Data Protection Laws. Customer is solely responsible for the accuracy, quality, and legality of (i) the Personal Data provided to Company by or on behalf of Customer, (ii) the means by which Customer acquired any such Personal Data, and (iii) the instructions it provides to Company regarding the processing of such Personal Data. Customer shall not provide or make available to Company any Personal Data in violation of the Agreement or otherwise inappropriate for the nature of the Services, and shall indemnify Company from all claims and losses in connection therewith. </w:t>
      </w:r>
    </w:p>
    <w:p>
      <w:pPr>
        <w:pStyle w:val="8"/>
        <w:numPr>
          <w:ilvl w:val="1"/>
          <w:numId w:val="1"/>
        </w:numPr>
        <w:rPr>
          <w:rFonts w:hint="eastAsia"/>
          <w:lang w:val="en"/>
        </w:rPr>
      </w:pPr>
      <w:r>
        <w:rPr>
          <w:rFonts w:hint="eastAsia"/>
          <w:lang w:val="en"/>
        </w:rPr>
        <w:t>Company shall not process Personal Data (i) for purposes other than those set forth in the Agreement and/or Exhibit A, (ii) in a manner inconsistent with the terms and conditions set forth in this DPA or any other documented instructions provided by Customer, including with regard to transfers of personal data to a third country or an international organization, unless required to do so by Supervisory Authority to which the Company is subject; in such a case, the Company shall inform the Customer of that legal requirement before processing, unless that law prohibits such information on important grounds of public interest, or (iii) in violation of Data Protection Laws. Customer hereby instructs Company to process Personal Data in accordance with the foregoing and as part of any processing initiated by Customer in its use of the Services.</w:t>
      </w:r>
    </w:p>
    <w:p>
      <w:pPr>
        <w:numPr>
          <w:ilvl w:val="1"/>
          <w:numId w:val="1"/>
        </w:numPr>
        <w:spacing w:before="100" w:beforeAutospacing="1" w:after="100" w:afterAutospacing="1"/>
        <w:rPr>
          <w:rFonts w:hint="eastAsia"/>
          <w:lang w:val="en"/>
        </w:rPr>
      </w:pPr>
      <w:r>
        <w:rPr>
          <w:rFonts w:hint="eastAsia"/>
          <w:lang w:val="en"/>
        </w:rPr>
        <w:t>The subject matter, nature, purpose, and duration of this processing, as well as the types of Personal Data collected and categories of Data Subjects, are described in Exhibit A to this DPA.</w:t>
      </w:r>
    </w:p>
    <w:p>
      <w:pPr>
        <w:pStyle w:val="8"/>
        <w:numPr>
          <w:ilvl w:val="1"/>
          <w:numId w:val="1"/>
        </w:numPr>
        <w:rPr>
          <w:rFonts w:hint="eastAsia"/>
          <w:lang w:val="en"/>
        </w:rPr>
      </w:pPr>
      <w:r>
        <w:rPr>
          <w:rFonts w:hint="eastAsia"/>
          <w:lang w:val="en"/>
        </w:rPr>
        <w:t>Following completion of the Services, at Customer’s choice, Company shall return or delete Customer’s Personal Data, unless further storage of such Personal Data is required or authorized by applicable law. If return or destruction is impracticable or prohibited by law, rule or regulation, Company shall take measures to block such Personal Data from any further processing (except to the extent necessary for its continued hosting or processing required by law, rule or regulation) and shall continue to appropriately protect the Personal Data remaining in its possession, custody, or control. </w:t>
      </w:r>
    </w:p>
    <w:p>
      <w:pPr>
        <w:pStyle w:val="8"/>
        <w:numPr>
          <w:ilvl w:val="1"/>
          <w:numId w:val="1"/>
        </w:numPr>
        <w:rPr>
          <w:rFonts w:hint="eastAsia"/>
          <w:lang w:val="en"/>
        </w:rPr>
      </w:pPr>
      <w:r>
        <w:rPr>
          <w:rFonts w:hint="eastAsia"/>
          <w:lang w:val="en"/>
        </w:rPr>
        <w:t>CCPA. Except with respect to Company Account Data and Company Usage Data, the parties acknowledge and agree that Company is a service provider for the purposes of the CCPA (to the extent it applies) and is receiving personal information from Customer in order to provide the Services pursuant to the Agreement, which constitutes a business purpose. Company shall not sell any such personal information. Company shall not retain, use or disclose any personal information provided by Customer pursuant to the Agreement except as necessary for the specific purpose of performing the Services for Customer pursuant to the Agreement, or otherwise as set forth in the Agreement or as permitted by the CCPA. The terms “personal information,” “service provider,” “sale,” and “sell” are as defined in Section 1798.140 of the CCPA. Company certifies that it understands the restrictions of this Section 2.5.</w:t>
      </w:r>
    </w:p>
    <w:p>
      <w:pPr>
        <w:pStyle w:val="4"/>
        <w:numPr>
          <w:ilvl w:val="0"/>
          <w:numId w:val="1"/>
        </w:numPr>
        <w:rPr>
          <w:rFonts w:hint="eastAsia"/>
          <w:lang w:val="en"/>
        </w:rPr>
      </w:pPr>
      <w:r>
        <w:rPr>
          <w:rFonts w:hint="eastAsia"/>
          <w:lang w:val="en"/>
        </w:rPr>
        <w:t>Confidentiality</w:t>
      </w:r>
    </w:p>
    <w:p>
      <w:pPr>
        <w:pStyle w:val="8"/>
        <w:numPr>
          <w:ilvl w:val="1"/>
          <w:numId w:val="1"/>
        </w:numPr>
        <w:rPr>
          <w:rFonts w:hint="eastAsia"/>
          <w:lang w:val="en"/>
        </w:rPr>
      </w:pPr>
      <w:r>
        <w:rPr>
          <w:rFonts w:hint="eastAsia"/>
          <w:lang w:val="en"/>
        </w:rPr>
        <w:t>Company shall ensure that any person it authorizes to process Personal Data has agreed to protect Personal Data in accordance with Company’s confidentiality obligations in the Agreement.Customer agrees that Company may disclose Personal Data to its advisers, auditors or other third parties as reasonably required in connection with the performance of its obligations under this DPA, the Agreement, or the provision of Services to Customer.</w:t>
      </w:r>
    </w:p>
    <w:p>
      <w:pPr>
        <w:pStyle w:val="4"/>
        <w:numPr>
          <w:ilvl w:val="0"/>
          <w:numId w:val="1"/>
        </w:numPr>
        <w:rPr>
          <w:rFonts w:hint="eastAsia"/>
          <w:lang w:val="en"/>
        </w:rPr>
      </w:pPr>
      <w:r>
        <w:rPr>
          <w:rFonts w:hint="eastAsia"/>
          <w:lang w:val="en"/>
        </w:rPr>
        <w:t>Authorized Sub-Processors</w:t>
      </w:r>
    </w:p>
    <w:p>
      <w:pPr>
        <w:pStyle w:val="8"/>
        <w:numPr>
          <w:ilvl w:val="1"/>
          <w:numId w:val="1"/>
        </w:numPr>
        <w:rPr>
          <w:rFonts w:hint="eastAsia"/>
          <w:lang w:val="en"/>
        </w:rPr>
      </w:pPr>
      <w:r>
        <w:rPr>
          <w:rFonts w:hint="eastAsia"/>
          <w:lang w:val="en"/>
        </w:rPr>
        <w:t>Customer acknowledges and agrees that Company may (1) engage</w:t>
      </w:r>
      <w:r>
        <w:rPr>
          <w:rFonts w:hint="eastAsia"/>
          <w:lang w:val="en-US" w:eastAsia="zh-CN"/>
        </w:rPr>
        <w:t xml:space="preserve"> </w:t>
      </w:r>
      <w:r>
        <w:rPr>
          <w:rFonts w:hint="eastAsia"/>
          <w:lang w:val="en"/>
        </w:rPr>
        <w:t>the Authorized Sub-Processors on the List (defined below) to access and process Personal Data in connection with the Services and (2) from time to time engage additional third parties for the purpose of providing the Services, including without limitation the processing of Personal Data. By way of this DPA, Customer provides general written authorization to Company to engage sub-processors as necessary to perform the Services.</w:t>
      </w:r>
    </w:p>
    <w:p>
      <w:pPr>
        <w:pStyle w:val="8"/>
        <w:numPr>
          <w:ilvl w:val="1"/>
          <w:numId w:val="1"/>
        </w:numPr>
        <w:rPr>
          <w:rFonts w:hint="eastAsia"/>
          <w:lang w:val="en"/>
        </w:rPr>
      </w:pPr>
      <w:r>
        <w:rPr>
          <w:rFonts w:hint="eastAsia"/>
          <w:lang w:val="en"/>
        </w:rPr>
        <w:t xml:space="preserve">A list of Company’s current Authorized Sub-Processors (the “List”) is available to Customer at </w:t>
      </w:r>
      <w:r>
        <w:rPr>
          <w:rFonts w:hint="eastAsia"/>
          <w:lang w:val="en"/>
        </w:rPr>
        <w:fldChar w:fldCharType="begin"/>
      </w:r>
      <w:r>
        <w:rPr>
          <w:rFonts w:hint="eastAsia"/>
          <w:lang w:val="en"/>
        </w:rPr>
        <w:instrText xml:space="preserve"> HYPERLINK "https://trust.allyfy.chat/subprocessors" </w:instrText>
      </w:r>
      <w:r>
        <w:rPr>
          <w:rFonts w:hint="eastAsia"/>
          <w:lang w:val="en"/>
        </w:rPr>
        <w:fldChar w:fldCharType="separate"/>
      </w:r>
      <w:r>
        <w:rPr>
          <w:rStyle w:val="14"/>
          <w:rFonts w:hint="eastAsia"/>
          <w:lang w:val="en"/>
        </w:rPr>
        <w:t>https://trust.chatbond.co/subprocessors</w:t>
      </w:r>
      <w:r>
        <w:rPr>
          <w:rFonts w:hint="eastAsia"/>
          <w:lang w:val="en"/>
        </w:rPr>
        <w:fldChar w:fldCharType="end"/>
      </w:r>
      <w:r>
        <w:rPr>
          <w:rFonts w:hint="eastAsia"/>
          <w:lang w:val="en"/>
        </w:rPr>
        <w:t>. Such List may be updated by Company from time to time. Company will provide a mechanism to subscribe to notifications (which may include but are not limited to email notifications) of new Authorized Sub-Processors and Customer, if it wishes, will subscribe to such notifications where available. If Customer does not subscribe to such notifications, Customer waives any right it may have to receive prior notice of changes to Authorized Sub-Processors. At least ten (10) days before enabling any third party other than existing Authorized Sub-Processors to access or participate in the processing of Personal Data, Company will add such third party to the List and notify subscribers, including Customer, via the aforementioned notifications. Customer may object to such an engagement by informing Company in writing within ten (10) days of receipt of the aforementioned notice by Customer, provided such objection is in writing and based on reasonable grounds relating to data protection. Customer acknowledges that certain sub-processors are essential to providing the Services and that objecting to the use of a sub-processor may prevent Company from offering the Services to Customer.</w:t>
      </w:r>
    </w:p>
    <w:p>
      <w:pPr>
        <w:pStyle w:val="8"/>
        <w:numPr>
          <w:ilvl w:val="1"/>
          <w:numId w:val="1"/>
        </w:numPr>
        <w:rPr>
          <w:rFonts w:hint="eastAsia"/>
          <w:lang w:val="en"/>
        </w:rPr>
      </w:pPr>
      <w:r>
        <w:rPr>
          <w:rFonts w:hint="eastAsia"/>
          <w:lang w:val="en"/>
        </w:rPr>
        <w:t>If Customer reasonably objects to an engagement in accordance with Section 4.2, and Company cannot provide a commercially reasonable alternative within a reasonable period of time, Customer may discontinue the use of the affected Service by providing written notice to Company. Discontinuation shall not relieve Customer of any fees owed to Company under the Agreement. </w:t>
      </w:r>
    </w:p>
    <w:p>
      <w:pPr>
        <w:pStyle w:val="8"/>
        <w:numPr>
          <w:ilvl w:val="1"/>
          <w:numId w:val="1"/>
        </w:numPr>
        <w:rPr>
          <w:rFonts w:hint="eastAsia"/>
          <w:lang w:val="en"/>
        </w:rPr>
      </w:pPr>
      <w:r>
        <w:rPr>
          <w:rFonts w:hint="eastAsia"/>
          <w:lang w:val="en"/>
        </w:rPr>
        <w:t>If Customer does not object to the engagement of a third party in accordance with Section 4.2 within ten (10) days of notice by Company, that third party will be deemed an Authorized Sub-Processor for the purposes of this DPA.</w:t>
      </w:r>
    </w:p>
    <w:p>
      <w:pPr>
        <w:pStyle w:val="8"/>
        <w:numPr>
          <w:ilvl w:val="1"/>
          <w:numId w:val="1"/>
        </w:numPr>
        <w:rPr>
          <w:rFonts w:hint="eastAsia"/>
          <w:lang w:val="en"/>
        </w:rPr>
      </w:pPr>
      <w:r>
        <w:rPr>
          <w:rFonts w:hint="eastAsia"/>
          <w:lang w:val="en"/>
        </w:rPr>
        <w:t>Company will enter into a written agreement with the Authorized Sub-Processor imposing on the Authorized Sub-Processor data protection obligations comparable to those imposed on Company under this DPA with respect to the protection of Personal Data. In case an Authorized Sub-Processor fails to fulfill its data protection obligations under such written agreement with Company, Company will remain liable to Customer for the performance of the Authorized Sub-Processor’s obligations under such agreement.</w:t>
      </w:r>
    </w:p>
    <w:p>
      <w:pPr>
        <w:pStyle w:val="4"/>
        <w:numPr>
          <w:ilvl w:val="0"/>
          <w:numId w:val="1"/>
        </w:numPr>
        <w:rPr>
          <w:rFonts w:hint="eastAsia"/>
          <w:lang w:val="en"/>
        </w:rPr>
      </w:pPr>
      <w:r>
        <w:rPr>
          <w:rFonts w:hint="eastAsia"/>
          <w:lang w:val="en"/>
        </w:rPr>
        <w:t>Security of Personal Data</w:t>
      </w:r>
    </w:p>
    <w:p>
      <w:pPr>
        <w:pStyle w:val="8"/>
        <w:numPr>
          <w:ilvl w:val="1"/>
          <w:numId w:val="1"/>
        </w:numPr>
        <w:rPr>
          <w:rFonts w:hint="eastAsia"/>
          <w:lang w:val="en"/>
        </w:rPr>
      </w:pPr>
      <w:r>
        <w:rPr>
          <w:rFonts w:hint="eastAsia"/>
          <w:lang w:val="en"/>
        </w:rPr>
        <w:t>Taking into account the state of the art, the costs of implementation and the nature, scope, context and purposes of processing as well as the risk of varying likelihood and severity for the rights and freedoms of natural persons, Company shall maintain appropriate technical and organizational measures to ensure a level of security appropriate to the risk of processing Personal Data.Exhibit C sets forth additional information about Company’s technical and organizational security measures.</w:t>
      </w:r>
    </w:p>
    <w:p>
      <w:pPr>
        <w:pStyle w:val="4"/>
        <w:numPr>
          <w:ilvl w:val="0"/>
          <w:numId w:val="1"/>
        </w:numPr>
        <w:rPr>
          <w:rFonts w:hint="eastAsia"/>
          <w:lang w:val="en"/>
        </w:rPr>
      </w:pPr>
      <w:r>
        <w:rPr>
          <w:rFonts w:hint="eastAsia"/>
          <w:lang w:val="en"/>
        </w:rPr>
        <w:t>Transfers of Personal Data</w:t>
      </w:r>
    </w:p>
    <w:p>
      <w:pPr>
        <w:pStyle w:val="8"/>
        <w:numPr>
          <w:ilvl w:val="1"/>
          <w:numId w:val="1"/>
        </w:numPr>
        <w:rPr>
          <w:rFonts w:hint="eastAsia"/>
          <w:lang w:val="en"/>
        </w:rPr>
      </w:pPr>
      <w:r>
        <w:rPr>
          <w:rFonts w:hint="eastAsia"/>
          <w:lang w:val="en"/>
        </w:rPr>
        <w:t>For each module, where applicable the following applies: </w:t>
      </w:r>
    </w:p>
    <w:p>
      <w:pPr>
        <w:numPr>
          <w:ilvl w:val="2"/>
          <w:numId w:val="1"/>
        </w:numPr>
        <w:spacing w:before="100" w:beforeAutospacing="1" w:after="100" w:afterAutospacing="1"/>
        <w:rPr>
          <w:rFonts w:hint="eastAsia"/>
          <w:lang w:val="en"/>
        </w:rPr>
      </w:pPr>
      <w:r>
        <w:rPr>
          <w:rFonts w:hint="eastAsia"/>
          <w:lang w:val="en"/>
        </w:rPr>
        <w:t>The optional docking clause in Clause 7 does not apply. </w:t>
      </w:r>
    </w:p>
    <w:p>
      <w:pPr>
        <w:numPr>
          <w:ilvl w:val="2"/>
          <w:numId w:val="1"/>
        </w:numPr>
        <w:spacing w:before="100" w:beforeAutospacing="1" w:after="100" w:afterAutospacing="1"/>
        <w:rPr>
          <w:rFonts w:hint="eastAsia"/>
          <w:lang w:val="en"/>
        </w:rPr>
      </w:pPr>
      <w:r>
        <w:rPr>
          <w:rFonts w:hint="eastAsia"/>
          <w:lang w:val="en"/>
        </w:rPr>
        <w:t>In Clause 9, Option 2 (general written authorization) applies, and the minimum time period for prior notice of sub-processor changes shall be as set forth in Section 4.2 of this DPA; </w:t>
      </w:r>
    </w:p>
    <w:p>
      <w:pPr>
        <w:numPr>
          <w:ilvl w:val="2"/>
          <w:numId w:val="1"/>
        </w:numPr>
        <w:spacing w:before="100" w:beforeAutospacing="1" w:after="100" w:afterAutospacing="1"/>
        <w:rPr>
          <w:rFonts w:hint="eastAsia"/>
          <w:lang w:val="en"/>
        </w:rPr>
      </w:pPr>
      <w:r>
        <w:rPr>
          <w:rFonts w:hint="eastAsia"/>
          <w:lang w:val="en"/>
        </w:rPr>
        <w:t>In Clause 11, the optional language does not apply;</w:t>
      </w:r>
    </w:p>
    <w:p>
      <w:pPr>
        <w:numPr>
          <w:ilvl w:val="2"/>
          <w:numId w:val="1"/>
        </w:numPr>
        <w:spacing w:before="100" w:beforeAutospacing="1" w:after="100" w:afterAutospacing="1"/>
        <w:rPr>
          <w:rFonts w:hint="eastAsia"/>
          <w:lang w:val="en"/>
        </w:rPr>
      </w:pPr>
      <w:r>
        <w:rPr>
          <w:rFonts w:hint="eastAsia"/>
          <w:lang w:val="en"/>
        </w:rPr>
        <w:t>All square brackets in Clause 13 are hereby removed; </w:t>
      </w:r>
    </w:p>
    <w:p>
      <w:pPr>
        <w:pStyle w:val="8"/>
        <w:numPr>
          <w:ilvl w:val="1"/>
          <w:numId w:val="1"/>
        </w:numPr>
        <w:rPr>
          <w:rFonts w:hint="eastAsia"/>
          <w:lang w:val="en"/>
        </w:rPr>
      </w:pPr>
      <w:r>
        <w:rPr>
          <w:rFonts w:hint="eastAsia"/>
          <w:lang w:val="en"/>
        </w:rPr>
        <w:t>Supplementary Measures. In respect of any ex-EEA Transfer or ex-UK Transfer, the following supplementary measures shall apply:</w:t>
      </w:r>
    </w:p>
    <w:p>
      <w:pPr>
        <w:numPr>
          <w:ilvl w:val="2"/>
          <w:numId w:val="1"/>
        </w:numPr>
        <w:spacing w:before="100" w:beforeAutospacing="1" w:after="100" w:afterAutospacing="1"/>
        <w:rPr>
          <w:rFonts w:hint="eastAsia"/>
          <w:lang w:val="en"/>
        </w:rPr>
      </w:pPr>
      <w:r>
        <w:rPr>
          <w:rFonts w:hint="eastAsia"/>
          <w:lang w:val="en"/>
        </w:rPr>
        <w:t>As of the date of this DPA, the Data Importer has not received any formal legal requests from any government intelligence or security service/agencies in the country to which the Personal Data is being exported, for access to (or for copies of) Customer’s Personal Data (“Government Agency Requests”) ;</w:t>
      </w:r>
    </w:p>
    <w:p>
      <w:pPr>
        <w:numPr>
          <w:ilvl w:val="2"/>
          <w:numId w:val="1"/>
        </w:numPr>
        <w:spacing w:before="100" w:beforeAutospacing="1" w:after="100" w:afterAutospacing="1"/>
        <w:rPr>
          <w:rFonts w:hint="eastAsia"/>
          <w:lang w:val="en"/>
        </w:rPr>
      </w:pPr>
      <w:r>
        <w:rPr>
          <w:rFonts w:hint="eastAsia"/>
          <w:lang w:val="en"/>
        </w:rPr>
        <w:t>If, after the date of this DPA, the Data Importer receives any Government Agency Requests, Company shall attempt to redirect the law enforcement or government agency to request that data directly from Customer. As part of this effort, Company may provide Customer’s basic contact information to the government agency. If compelled to disclose Customer’s Personal Data to a law enforcement or government agency, Company shall give Customer reasonable notice of the demand and cooperate to allow Customer to seek a protective order or other appropriate remedy unless Company is legally prohibited from doing so. Company shall not voluntarily disclose Personal Data to any law enforcement or government agency. Data Exporter and Data Importer shall (as soon as reasonably practicable) discuss and determine whether all or any transfers of Personal Data pursuant to this DPA should be suspended in the light of the such Government Agency Requests;</w:t>
      </w:r>
    </w:p>
    <w:p>
      <w:pPr>
        <w:numPr>
          <w:ilvl w:val="2"/>
          <w:numId w:val="1"/>
        </w:numPr>
        <w:spacing w:before="100" w:beforeAutospacing="1" w:after="100" w:afterAutospacing="1"/>
        <w:rPr>
          <w:rFonts w:hint="eastAsia"/>
          <w:lang w:val="en"/>
        </w:rPr>
      </w:pPr>
      <w:r>
        <w:rPr>
          <w:rFonts w:hint="eastAsia"/>
          <w:lang w:val="en"/>
        </w:rPr>
        <w:t>The Data Exporter and Data Importer will meet as needed to consider whether:</w:t>
      </w:r>
    </w:p>
    <w:p>
      <w:pPr>
        <w:numPr>
          <w:ilvl w:val="3"/>
          <w:numId w:val="1"/>
        </w:numPr>
        <w:spacing w:before="100" w:beforeAutospacing="1" w:after="100" w:afterAutospacing="1"/>
        <w:rPr>
          <w:rFonts w:hint="eastAsia"/>
          <w:lang w:val="en"/>
        </w:rPr>
      </w:pPr>
      <w:r>
        <w:rPr>
          <w:rFonts w:hint="eastAsia"/>
          <w:lang w:val="en"/>
        </w:rPr>
        <w:t>the protection afforded by the laws of the country of the Data Importer to data subjects whose Personal Data is being transferred is sufficient to provide broadly equivalent protection to that afforded in the EEA or the UK, whichever the case may be;</w:t>
      </w:r>
    </w:p>
    <w:p>
      <w:pPr>
        <w:numPr>
          <w:ilvl w:val="3"/>
          <w:numId w:val="1"/>
        </w:numPr>
        <w:spacing w:before="100" w:beforeAutospacing="1" w:after="100" w:afterAutospacing="1"/>
        <w:rPr>
          <w:rFonts w:hint="eastAsia"/>
          <w:lang w:val="en"/>
        </w:rPr>
      </w:pPr>
      <w:r>
        <w:rPr>
          <w:rFonts w:hint="eastAsia"/>
          <w:lang w:val="en"/>
        </w:rPr>
        <w:t>additional measures are reasonably necessary to enable the transfer to be compliant with the Data Protection Laws;  </w:t>
      </w:r>
    </w:p>
    <w:p>
      <w:pPr>
        <w:numPr>
          <w:ilvl w:val="3"/>
          <w:numId w:val="1"/>
        </w:numPr>
        <w:spacing w:before="100" w:beforeAutospacing="1" w:after="100" w:afterAutospacing="1"/>
        <w:rPr>
          <w:rFonts w:hint="eastAsia"/>
          <w:lang w:val="en"/>
        </w:rPr>
      </w:pPr>
      <w:r>
        <w:rPr>
          <w:rFonts w:hint="eastAsia"/>
          <w:lang w:val="en"/>
        </w:rPr>
        <w:t>it is still appropriate for Personal Data to be transferred to the relevant Data Importer, taking into account all relevant information available to the parties, together with guidance provided by the supervisory authorities. </w:t>
      </w:r>
    </w:p>
    <w:p>
      <w:pPr>
        <w:numPr>
          <w:ilvl w:val="2"/>
          <w:numId w:val="1"/>
        </w:numPr>
        <w:spacing w:before="100" w:beforeAutospacing="1" w:after="100" w:afterAutospacing="1"/>
        <w:rPr>
          <w:rFonts w:hint="eastAsia"/>
          <w:lang w:val="en"/>
        </w:rPr>
      </w:pPr>
      <w:r>
        <w:rPr>
          <w:rFonts w:hint="eastAsia"/>
          <w:lang w:val="en"/>
        </w:rPr>
        <w:t>If Data Protection Laws require the Data Exporter to execute the Standard Contractual Clauses applicable to a particular transfer of Personal Data to a Data Importer as a separate agreement, the Data Importer shall, on request of the Data Exporter, promptly execute such Standard Contractual Clauses incorporating such amendments as may reasonably be required by the Data Exporter to reflect the applicable appendices and annexes, the details of the transfer and the requirements of the relevant Data Protection Laws. </w:t>
      </w:r>
    </w:p>
    <w:p>
      <w:pPr>
        <w:numPr>
          <w:ilvl w:val="2"/>
          <w:numId w:val="1"/>
        </w:numPr>
        <w:spacing w:before="100" w:beforeAutospacing="1" w:after="100" w:afterAutospacing="1"/>
        <w:rPr>
          <w:rFonts w:hint="eastAsia"/>
          <w:lang w:val="en"/>
        </w:rPr>
      </w:pPr>
      <w:r>
        <w:rPr>
          <w:rFonts w:hint="eastAsia"/>
          <w:lang w:val="en"/>
        </w:rPr>
        <w:t>If either (i) any of the means of legitimizing transfers of Personal Data outside of the EEA or UK set forth in this DPA cease to be valid or (ii) any supervisory authority requires transfers of Personal Data pursuant to those means to be suspended, then Data Importer may by notice to the Data Exporter, with effect from the date set out in such notice, amend or put in place alternative arrangements in respect of such transfers, as required by Data Protection Laws.</w:t>
      </w:r>
    </w:p>
    <w:p>
      <w:pPr>
        <w:pStyle w:val="4"/>
        <w:numPr>
          <w:ilvl w:val="0"/>
          <w:numId w:val="1"/>
        </w:numPr>
        <w:rPr>
          <w:rFonts w:hint="eastAsia"/>
          <w:lang w:val="en"/>
        </w:rPr>
      </w:pPr>
      <w:r>
        <w:rPr>
          <w:rFonts w:hint="eastAsia"/>
          <w:lang w:val="en"/>
        </w:rPr>
        <w:t>Rights of Data Subjects</w:t>
      </w:r>
    </w:p>
    <w:p>
      <w:pPr>
        <w:pStyle w:val="8"/>
        <w:numPr>
          <w:ilvl w:val="1"/>
          <w:numId w:val="1"/>
        </w:numPr>
        <w:rPr>
          <w:rFonts w:hint="eastAsia"/>
          <w:lang w:val="en"/>
        </w:rPr>
      </w:pPr>
      <w:r>
        <w:rPr>
          <w:rFonts w:hint="eastAsia"/>
          <w:lang w:val="en"/>
        </w:rPr>
        <w:t>Company shall, to the extent permitted by law, notify Customer upon receipt of a request by a Data Subject to exercise the Data Subject’s right of: access, rectification, erasure, data portability, restriction or cessation of processing, withdrawal of consent to processing, and/or objection to being subject to processing that constitutes automated decision-making (such requests individually and collectively “Data Subject Request(s)”). If Company receives a Data Subject Request in relation to Customer’s data, Company will advise the Data Subject to submit their request to Customer and Customer will be responsible for responding to such request, including, where necessary, by using the functionality of the Services. Customer is solely responsible for ensuring that Data Subject Requests for erasure, restriction or cessation of processing, or withdrawal of consent to processing of any Personal Data are communicated to Company, and, if applicable, for ensuring that a record of consent to processing is maintained with respect to each Data Subject.</w:t>
      </w:r>
    </w:p>
    <w:p>
      <w:pPr>
        <w:pStyle w:val="8"/>
        <w:numPr>
          <w:ilvl w:val="1"/>
          <w:numId w:val="1"/>
        </w:numPr>
        <w:rPr>
          <w:rFonts w:hint="eastAsia"/>
          <w:lang w:val="en"/>
        </w:rPr>
      </w:pPr>
      <w:r>
        <w:rPr>
          <w:rFonts w:hint="eastAsia"/>
          <w:lang w:val="en"/>
        </w:rPr>
        <w:t xml:space="preserve">Company shall, at the request of the Customer, and taking into account the nature of the processing applicable to any Data Subject Request, apply appropriate technical and organizational measures to assist Customer in complying with Customer’s obligation to respond to such Data Subject Request and/or in demonstrating such compliance, where possible, </w:t>
      </w:r>
      <w:r>
        <w:rPr>
          <w:rStyle w:val="13"/>
          <w:rFonts w:hint="eastAsia"/>
          <w:lang w:val="en"/>
        </w:rPr>
        <w:t>provided that</w:t>
      </w:r>
      <w:r>
        <w:rPr>
          <w:rFonts w:hint="eastAsia"/>
          <w:lang w:val="en"/>
        </w:rPr>
        <w:t xml:space="preserve"> (i) Customer is itself unable to respond without Company’s assistance and (ii) Company is able to do so in accordance with all applicable laws, rules, and regulations. Customer shall be responsible to the extent legally permitted for any costs and expenses arising from any such assistance by Company.</w:t>
      </w:r>
    </w:p>
    <w:p>
      <w:pPr>
        <w:pStyle w:val="4"/>
        <w:numPr>
          <w:ilvl w:val="0"/>
          <w:numId w:val="1"/>
        </w:numPr>
        <w:rPr>
          <w:rFonts w:hint="eastAsia"/>
          <w:lang w:val="en"/>
        </w:rPr>
      </w:pPr>
      <w:r>
        <w:rPr>
          <w:rFonts w:hint="eastAsia"/>
          <w:lang w:val="en"/>
        </w:rPr>
        <w:t>Actions and Access Requests; Audits</w:t>
      </w:r>
    </w:p>
    <w:p>
      <w:pPr>
        <w:numPr>
          <w:ilvl w:val="1"/>
          <w:numId w:val="1"/>
        </w:numPr>
        <w:spacing w:before="100" w:beforeAutospacing="1" w:after="100" w:afterAutospacing="1"/>
        <w:rPr>
          <w:rFonts w:hint="eastAsia"/>
          <w:lang w:val="en"/>
        </w:rPr>
      </w:pPr>
      <w:r>
        <w:rPr>
          <w:rFonts w:hint="eastAsia"/>
          <w:lang w:val="en"/>
        </w:rPr>
        <w:t xml:space="preserve">Company shall, taking into account the nature of the processing and the information available to Company, provide Customer with reasonable cooperation and assistance where necessary for Customer to comply with its obligations under the GDPR to conduct a data protection impact assessment and/or to demonstrate such compliance, </w:t>
      </w:r>
      <w:r>
        <w:rPr>
          <w:rStyle w:val="13"/>
          <w:rFonts w:hint="eastAsia"/>
          <w:lang w:val="en"/>
        </w:rPr>
        <w:t>provided that</w:t>
      </w:r>
      <w:r>
        <w:rPr>
          <w:rFonts w:hint="eastAsia"/>
          <w:lang w:val="en"/>
        </w:rPr>
        <w:t xml:space="preserve"> Customer does not otherwise have access to the relevant information. Customer shall be responsible to the extent legally permitted for any costs and expenses arising from any such assistance by Company.</w:t>
      </w:r>
    </w:p>
    <w:p>
      <w:pPr>
        <w:numPr>
          <w:ilvl w:val="1"/>
          <w:numId w:val="1"/>
        </w:numPr>
        <w:spacing w:before="100" w:beforeAutospacing="1" w:after="100" w:afterAutospacing="1"/>
        <w:rPr>
          <w:rFonts w:hint="eastAsia"/>
          <w:lang w:val="en"/>
        </w:rPr>
      </w:pPr>
      <w:r>
        <w:rPr>
          <w:rFonts w:hint="eastAsia"/>
          <w:lang w:val="en"/>
        </w:rPr>
        <w:t>Company shall, taking into account the nature of the processing and the information available to Company, provide Customer with reasonable cooperation and assistance with respect to Customer’s cooperation and/or prior consultation with any Supervisory Authority, where necessary and where required by the GDPR. Customer shall be responsible to the extent legally permitted for any costs and expenses arising from any such assistance by Company.</w:t>
      </w:r>
    </w:p>
    <w:p>
      <w:pPr>
        <w:numPr>
          <w:ilvl w:val="1"/>
          <w:numId w:val="1"/>
        </w:numPr>
        <w:spacing w:before="100" w:beforeAutospacing="1" w:after="100" w:afterAutospacing="1"/>
        <w:rPr>
          <w:rFonts w:hint="eastAsia"/>
          <w:lang w:val="en"/>
        </w:rPr>
      </w:pPr>
      <w:r>
        <w:rPr>
          <w:rFonts w:hint="eastAsia"/>
          <w:lang w:val="en"/>
        </w:rPr>
        <w:t>Company shall maintain records sufficient to demonstrate its compliance with its obligations under this DPA, and retain such records for a period of three (3) years after the termination of the Agreement. Customer shall, with reasonable notice to Company, have the right to review, audit and copy such records at Company’s offices during regular business hours.</w:t>
      </w:r>
    </w:p>
    <w:p>
      <w:pPr>
        <w:numPr>
          <w:ilvl w:val="1"/>
          <w:numId w:val="1"/>
        </w:numPr>
        <w:spacing w:before="100" w:beforeAutospacing="1" w:after="100" w:afterAutospacing="1"/>
        <w:rPr>
          <w:rFonts w:hint="eastAsia"/>
          <w:lang w:val="en"/>
        </w:rPr>
      </w:pPr>
      <w:r>
        <w:rPr>
          <w:rFonts w:hint="eastAsia"/>
          <w:lang w:val="en"/>
        </w:rPr>
        <w:t>Upon Customer’s written request at reasonable intervals, and subject to reasonable confidentiality controls, Company shall, either (i) make available for Customer’s review copies of certifications or reports demonstrating Company’s compliance with prevailing data security standards applicable to the processing of Customer’s Personal Data, or (ii) if the provision of reports or certifications pursuant to (i) is not reasonably sufficient under Data Protection Laws, allow Customer’s independent third party representative to conduct an audit or inspection of Company’s data security infrastructure and procedures that is sufficient to demonstrate Company’s compliance with its obligations under Data Protection Laws, provided that (a) Customer provides reasonable prior written notice of any such request for an audit and such inspection shall not be unreasonably disruptive to Company’s business; (b) such audit shall only be performed during business hours and occur no more than once per calendar year; and (c) such audit shall be restricted to data relevant to Customer. Customer shall be responsible for the costs of any such audits or inspections, including without limitation a reimbursement to Company for any time expended for on-site audits.If Customer and Company have entered into Standard Contractual Clauses as described in Section 6 (Transfers of Personal Data), the parties agree that the audits described in Clause 8.9 of the EU SCCs shall be carried out in accordance with this Section 8.4.</w:t>
      </w:r>
    </w:p>
    <w:p>
      <w:pPr>
        <w:numPr>
          <w:ilvl w:val="1"/>
          <w:numId w:val="1"/>
        </w:numPr>
        <w:spacing w:before="100" w:beforeAutospacing="1" w:after="100" w:afterAutospacing="1"/>
        <w:rPr>
          <w:rFonts w:hint="eastAsia"/>
          <w:lang w:val="en"/>
        </w:rPr>
      </w:pPr>
      <w:r>
        <w:rPr>
          <w:rFonts w:hint="eastAsia"/>
          <w:lang w:val="en"/>
        </w:rPr>
        <w:t>Company shall immediately notify Customer if an instruction, in the Company’s opinion, infringes the Data Protection Laws or Supervisory Authority.</w:t>
      </w:r>
    </w:p>
    <w:p>
      <w:pPr>
        <w:numPr>
          <w:ilvl w:val="1"/>
          <w:numId w:val="1"/>
        </w:numPr>
        <w:spacing w:before="100" w:beforeAutospacing="1" w:after="100" w:afterAutospacing="1"/>
        <w:rPr>
          <w:rFonts w:hint="eastAsia"/>
          <w:lang w:val="en"/>
        </w:rPr>
      </w:pPr>
      <w:r>
        <w:rPr>
          <w:rFonts w:hint="eastAsia"/>
          <w:lang w:val="en"/>
        </w:rPr>
        <w:t>In the event of a Personal Data Breach, Company shall, without undue delay, inform Customer of the Personal Data Breach and take such steps as Company in its sole discretion deems necessary and reasonable to remediate such violation (to the extent that remediation is within Company’s reasonable control).</w:t>
      </w:r>
    </w:p>
    <w:p>
      <w:pPr>
        <w:numPr>
          <w:ilvl w:val="1"/>
          <w:numId w:val="1"/>
        </w:numPr>
        <w:spacing w:before="100" w:beforeAutospacing="1" w:after="100" w:afterAutospacing="1"/>
        <w:rPr>
          <w:rFonts w:hint="eastAsia"/>
          <w:lang w:val="en"/>
        </w:rPr>
      </w:pPr>
      <w:r>
        <w:rPr>
          <w:rFonts w:hint="eastAsia"/>
          <w:lang w:val="en"/>
        </w:rPr>
        <w:t>In the event of a Personal Data Breach, Company shall, taking into account the nature of the processing and the information available to Company, provide Customer with reasonable cooperation and assistance necessary for Customer to comply with its obligations under the GDPR with respect to notifying (i) the relevant Supervisory Authority and (ii) Data Subjects affected by such Personal Data Breach without undue delay.</w:t>
      </w:r>
    </w:p>
    <w:p>
      <w:pPr>
        <w:numPr>
          <w:ilvl w:val="1"/>
          <w:numId w:val="1"/>
        </w:numPr>
        <w:spacing w:before="100" w:beforeAutospacing="1" w:after="100" w:afterAutospacing="1"/>
        <w:rPr>
          <w:rFonts w:hint="eastAsia"/>
          <w:lang w:val="en"/>
        </w:rPr>
      </w:pPr>
      <w:r>
        <w:rPr>
          <w:rFonts w:hint="eastAsia"/>
          <w:lang w:val="en"/>
        </w:rPr>
        <w:t>The obligations described in Sections 8.6 and 8.7 shall not apply in the event that a Personal Data Breach results from the actions or omissions of Customer. Company’s obligation to report or respond to a Personal Data Breach under Sections 8.6 and 8.7 will not be construed as an acknowledgement by Company of any fault or liability with respect to the Personal Data Breach.</w:t>
      </w:r>
    </w:p>
    <w:p>
      <w:pPr>
        <w:numPr>
          <w:ilvl w:val="0"/>
          <w:numId w:val="1"/>
        </w:numPr>
        <w:spacing w:before="100" w:beforeAutospacing="1" w:after="100" w:afterAutospacing="1"/>
        <w:rPr>
          <w:rStyle w:val="11"/>
          <w:rFonts w:hint="eastAsia"/>
          <w:b w:val="0"/>
          <w:bCs w:val="0"/>
        </w:rPr>
      </w:pPr>
      <w:r>
        <w:rPr>
          <w:rStyle w:val="11"/>
          <w:rFonts w:hint="eastAsia"/>
          <w:lang w:val="en"/>
        </w:rPr>
        <w:t xml:space="preserve">Company’s Role as a Controller </w:t>
      </w:r>
    </w:p>
    <w:p>
      <w:pPr>
        <w:numPr>
          <w:ilvl w:val="1"/>
          <w:numId w:val="1"/>
        </w:numPr>
        <w:spacing w:before="100" w:beforeAutospacing="1" w:after="100" w:afterAutospacing="1"/>
        <w:rPr>
          <w:rFonts w:hint="eastAsia"/>
        </w:rPr>
      </w:pPr>
      <w:r>
        <w:rPr>
          <w:rFonts w:hint="eastAsia"/>
          <w:lang w:val="en"/>
        </w:rPr>
        <w:t xml:space="preserve">The parties acknowledge and agree that with respect to Company Account Data and Company Usage Data, Company is an independent controller, not a joint controller with Customer. Company will process Company Account Data and Company Usage Data as a controller (i) to manage the relationship with Customer; (ii) to carry out Company’s core business operations, such as accounting, audits, tax preparation and filing and compliance purposes; (iii) to monitor, investigate, prevent and detect fraud, security incidents and other misuse of the Services, and to prevent harm to Customer; (iv) for identity verification purposes; (v) to comply with legal or regulatory obligations applicable to the processing and retention of Personal Data to which Company is subject; and (vi) as otherwise permitted under Data Protection Laws and in accordance with this DPA and the Agreement. Company may also process Company Usage Data as a controller to provide, optimize, and maintain the Services, to the extent permitted by Data Protection Laws. Any processing by the Company as a controller shall be in accordance with the Company’s privacy policy set forth at </w:t>
      </w:r>
      <w:r>
        <w:rPr>
          <w:rFonts w:hint="eastAsia"/>
          <w:lang w:val="en"/>
        </w:rPr>
        <w:fldChar w:fldCharType="begin"/>
      </w:r>
      <w:r>
        <w:rPr>
          <w:rFonts w:hint="eastAsia"/>
          <w:lang w:val="en"/>
        </w:rPr>
        <w:instrText xml:space="preserve"> HYPERLINK "https://www.allyfy.chat/privacy.html" </w:instrText>
      </w:r>
      <w:r>
        <w:rPr>
          <w:rFonts w:hint="eastAsia"/>
          <w:lang w:val="en"/>
        </w:rPr>
        <w:fldChar w:fldCharType="separate"/>
      </w:r>
      <w:r>
        <w:rPr>
          <w:rStyle w:val="14"/>
          <w:rFonts w:hint="eastAsia"/>
          <w:lang w:val="en"/>
        </w:rPr>
        <w:t>https://www.chatbond.co/privacy.html</w:t>
      </w:r>
      <w:r>
        <w:rPr>
          <w:rFonts w:hint="eastAsia"/>
          <w:lang w:val="en"/>
        </w:rPr>
        <w:fldChar w:fldCharType="end"/>
      </w:r>
      <w:r>
        <w:rPr>
          <w:rFonts w:hint="eastAsia"/>
          <w:lang w:val="en"/>
        </w:rPr>
        <w:t xml:space="preserve">. </w:t>
      </w:r>
    </w:p>
    <w:p>
      <w:pPr>
        <w:numPr>
          <w:ilvl w:val="0"/>
          <w:numId w:val="1"/>
        </w:numPr>
        <w:spacing w:before="100" w:beforeAutospacing="1" w:after="100" w:afterAutospacing="1"/>
        <w:rPr>
          <w:rStyle w:val="11"/>
          <w:rFonts w:hint="eastAsia"/>
          <w:b w:val="0"/>
          <w:bCs w:val="0"/>
        </w:rPr>
      </w:pPr>
      <w:r>
        <w:rPr>
          <w:rStyle w:val="11"/>
          <w:rFonts w:hint="eastAsia"/>
          <w:lang w:val="en"/>
        </w:rPr>
        <w:t>Conflict</w:t>
      </w:r>
    </w:p>
    <w:p>
      <w:pPr>
        <w:numPr>
          <w:ilvl w:val="1"/>
          <w:numId w:val="1"/>
        </w:numPr>
        <w:spacing w:before="100" w:beforeAutospacing="1" w:after="100" w:afterAutospacing="1"/>
        <w:rPr>
          <w:rFonts w:hint="eastAsia"/>
        </w:rPr>
      </w:pPr>
      <w:r>
        <w:rPr>
          <w:rFonts w:hint="eastAsia"/>
          <w:lang w:val="en"/>
        </w:rPr>
        <w:t>In the event of any conflict or inconsistency among the following documents, the order of precedence will be: (1) the applicable terms in the Standard Contractual Clauses; (2) the terms of this DPA; (3) the Agreement; and (4) the Company’s privacy policy. Any claims brought in connection with this DPA will be subject to the terms and conditions, including, but not limited to, the exclusions and limitations set forth in the Agreement.</w:t>
      </w:r>
    </w:p>
    <w:p>
      <w:pPr>
        <w:pStyle w:val="8"/>
        <w:rPr>
          <w:rFonts w:hint="eastAsia"/>
          <w:lang w:val="en"/>
        </w:rPr>
      </w:pPr>
      <w:r>
        <w:rPr>
          <w:rStyle w:val="11"/>
          <w:rFonts w:hint="eastAsia"/>
          <w:lang w:val="en"/>
        </w:rPr>
        <w:t>Exhibit A</w:t>
      </w:r>
    </w:p>
    <w:p>
      <w:pPr>
        <w:pStyle w:val="8"/>
        <w:rPr>
          <w:rFonts w:hint="eastAsia"/>
          <w:lang w:val="en"/>
        </w:rPr>
      </w:pPr>
      <w:r>
        <w:rPr>
          <w:rStyle w:val="11"/>
          <w:rFonts w:hint="eastAsia"/>
          <w:lang w:val="en"/>
        </w:rPr>
        <w:t>Details of Processing</w:t>
      </w:r>
    </w:p>
    <w:p>
      <w:pPr>
        <w:pStyle w:val="8"/>
        <w:rPr>
          <w:rFonts w:hint="eastAsia"/>
          <w:lang w:val="en"/>
        </w:rPr>
      </w:pPr>
      <w:r>
        <w:rPr>
          <w:rStyle w:val="11"/>
          <w:rFonts w:hint="eastAsia"/>
          <w:lang w:val="en"/>
        </w:rPr>
        <w:t>Nature and Purpose of Processing:</w:t>
      </w:r>
      <w:r>
        <w:rPr>
          <w:rFonts w:hint="eastAsia"/>
          <w:lang w:val="en"/>
        </w:rPr>
        <w:t xml:space="preserve"> Company will process Customer’s Personal Data as necessary to provide the Services under the Agreement, for the purposes specified in the Agreement and this DPA, and in accordance with Customer’s instructions as set forth in this DPA. The nature of processing includes, without limitation: </w:t>
      </w:r>
    </w:p>
    <w:p>
      <w:pPr>
        <w:numPr>
          <w:ilvl w:val="0"/>
          <w:numId w:val="2"/>
        </w:numPr>
        <w:spacing w:before="100" w:beforeAutospacing="1" w:after="100" w:afterAutospacing="1"/>
        <w:rPr>
          <w:rFonts w:hint="eastAsia"/>
          <w:lang w:val="en"/>
        </w:rPr>
      </w:pPr>
      <w:r>
        <w:rPr>
          <w:rFonts w:hint="eastAsia"/>
          <w:lang w:val="en"/>
        </w:rPr>
        <w:t>Receiving data, including collection, accessing, retrieval, recording, and data entry</w:t>
      </w:r>
    </w:p>
    <w:p>
      <w:pPr>
        <w:numPr>
          <w:ilvl w:val="0"/>
          <w:numId w:val="2"/>
        </w:numPr>
        <w:spacing w:before="100" w:beforeAutospacing="1" w:after="100" w:afterAutospacing="1"/>
        <w:rPr>
          <w:rFonts w:hint="eastAsia"/>
          <w:lang w:val="en"/>
        </w:rPr>
      </w:pPr>
      <w:r>
        <w:rPr>
          <w:rFonts w:hint="eastAsia"/>
          <w:lang w:val="en"/>
        </w:rPr>
        <w:t>Protecting data, including restricting, encrypting, and security testing</w:t>
      </w:r>
    </w:p>
    <w:p>
      <w:pPr>
        <w:numPr>
          <w:ilvl w:val="0"/>
          <w:numId w:val="2"/>
        </w:numPr>
        <w:spacing w:before="100" w:beforeAutospacing="1" w:after="100" w:afterAutospacing="1"/>
        <w:rPr>
          <w:rFonts w:hint="eastAsia"/>
          <w:lang w:val="en"/>
        </w:rPr>
      </w:pPr>
      <w:r>
        <w:rPr>
          <w:rFonts w:hint="eastAsia"/>
          <w:lang w:val="en"/>
        </w:rPr>
        <w:t>Holding data, including storage, organization, and structuring</w:t>
      </w:r>
    </w:p>
    <w:p>
      <w:pPr>
        <w:numPr>
          <w:ilvl w:val="0"/>
          <w:numId w:val="2"/>
        </w:numPr>
        <w:spacing w:before="100" w:beforeAutospacing="1" w:after="100" w:afterAutospacing="1"/>
        <w:rPr>
          <w:rFonts w:hint="eastAsia"/>
          <w:lang w:val="en"/>
        </w:rPr>
      </w:pPr>
      <w:r>
        <w:rPr>
          <w:rFonts w:hint="eastAsia"/>
          <w:lang w:val="en"/>
        </w:rPr>
        <w:t>Erasing data, including destruction and deletion</w:t>
      </w:r>
    </w:p>
    <w:p>
      <w:pPr>
        <w:numPr>
          <w:ilvl w:val="0"/>
          <w:numId w:val="2"/>
        </w:numPr>
        <w:spacing w:before="100" w:beforeAutospacing="1" w:after="100" w:afterAutospacing="1"/>
        <w:rPr>
          <w:rFonts w:hint="eastAsia"/>
          <w:lang w:val="en"/>
        </w:rPr>
      </w:pPr>
      <w:r>
        <w:rPr>
          <w:rFonts w:hint="eastAsia"/>
          <w:lang w:val="en"/>
        </w:rPr>
        <w:t>Analyzing data, including product usage assessment</w:t>
      </w:r>
    </w:p>
    <w:p>
      <w:pPr>
        <w:numPr>
          <w:ilvl w:val="0"/>
          <w:numId w:val="2"/>
        </w:numPr>
        <w:spacing w:before="100" w:beforeAutospacing="1" w:after="100" w:afterAutospacing="1"/>
        <w:rPr>
          <w:rFonts w:hint="eastAsia"/>
          <w:lang w:val="en"/>
        </w:rPr>
      </w:pPr>
      <w:r>
        <w:rPr>
          <w:rFonts w:hint="eastAsia"/>
          <w:lang w:val="en"/>
        </w:rPr>
        <w:t>Sharing data, including disclosure to subprocessors as permitted in this DPA</w:t>
      </w:r>
    </w:p>
    <w:p>
      <w:pPr>
        <w:pStyle w:val="8"/>
        <w:rPr>
          <w:rFonts w:hint="eastAsia"/>
          <w:lang w:val="en"/>
        </w:rPr>
      </w:pPr>
      <w:r>
        <w:rPr>
          <w:rStyle w:val="11"/>
          <w:rFonts w:hint="eastAsia"/>
          <w:lang w:val="en"/>
        </w:rPr>
        <w:t xml:space="preserve">Duration of Processing: </w:t>
      </w:r>
      <w:r>
        <w:rPr>
          <w:rFonts w:hint="eastAsia"/>
          <w:lang w:val="en"/>
        </w:rPr>
        <w:t>Company will process Customer’s Personal Data as long as required (i) to provide the Services to Customer under the Agreement; (ii) for Company’s legitimate business needs; or (iii) by applicable law or regulation. Company Account Data and Company Usage Data will be processed and stored as set forth in Company’s privacy policy.</w:t>
      </w:r>
    </w:p>
    <w:p>
      <w:pPr>
        <w:pStyle w:val="8"/>
        <w:rPr>
          <w:rFonts w:hint="eastAsia"/>
          <w:lang w:val="en"/>
        </w:rPr>
      </w:pPr>
      <w:r>
        <w:rPr>
          <w:rStyle w:val="11"/>
          <w:rFonts w:hint="eastAsia"/>
          <w:lang w:val="en"/>
        </w:rPr>
        <w:t xml:space="preserve">Categories of Data Subjects: </w:t>
      </w:r>
      <w:r>
        <w:rPr>
          <w:rFonts w:hint="eastAsia"/>
          <w:lang w:val="en"/>
        </w:rPr>
        <w:t>Customer’s employees, consultants, contractors, and/or agents. </w:t>
      </w:r>
    </w:p>
    <w:p>
      <w:pPr>
        <w:pStyle w:val="8"/>
        <w:rPr>
          <w:rFonts w:hint="eastAsia"/>
          <w:lang w:val="en"/>
        </w:rPr>
      </w:pPr>
      <w:r>
        <w:rPr>
          <w:rStyle w:val="11"/>
          <w:rFonts w:hint="eastAsia"/>
          <w:lang w:val="en"/>
        </w:rPr>
        <w:t xml:space="preserve">Categories of Personal Data: </w:t>
      </w:r>
      <w:r>
        <w:rPr>
          <w:rFonts w:hint="eastAsia"/>
          <w:lang w:val="en"/>
        </w:rPr>
        <w:t>Company processes Personal Data contained in Company Account Data, Company Usage Data, and any Personal Data provided by Customer (including any Personal Data Customer collects from its end users and processes through its use of the Services) or collected by Company in order to provide the Services or as otherwise set forth in the Agreement or this DPA. Categories of Personal Data include name, email, job title, username, Company device identifiers (e.g. serial number), IP address for company device, installed applications for company device, background check verification records (at discretion of Controller), security training records.</w:t>
      </w:r>
    </w:p>
    <w:p>
      <w:pPr>
        <w:pStyle w:val="8"/>
        <w:rPr>
          <w:rFonts w:hint="eastAsia"/>
          <w:lang w:val="en"/>
        </w:rPr>
      </w:pPr>
      <w:r>
        <w:rPr>
          <w:rStyle w:val="11"/>
          <w:rFonts w:hint="eastAsia"/>
          <w:lang w:val="en"/>
        </w:rPr>
        <w:t xml:space="preserve">Sensitive Data or Special Categories of Data: </w:t>
      </w:r>
      <w:r>
        <w:rPr>
          <w:rFonts w:hint="eastAsia"/>
          <w:lang w:val="en"/>
        </w:rPr>
        <w:t>Customers are prohibited from providing sensitive personal data or special categories of data to Company, including without limitation, any data which discloses the criminal history.</w:t>
      </w:r>
    </w:p>
    <w:p>
      <w:pPr>
        <w:pStyle w:val="8"/>
        <w:rPr>
          <w:rFonts w:hint="eastAsia"/>
          <w:lang w:val="en"/>
        </w:rPr>
      </w:pPr>
      <w:r>
        <w:rPr>
          <w:rStyle w:val="11"/>
          <w:rFonts w:hint="eastAsia"/>
          <w:lang w:val="en"/>
        </w:rPr>
        <w:t>Exhibit B</w:t>
      </w:r>
      <w:r>
        <w:rPr>
          <w:rFonts w:hint="eastAsia"/>
          <w:lang w:val="en"/>
        </w:rPr>
        <w:t> </w:t>
      </w:r>
    </w:p>
    <w:p>
      <w:pPr>
        <w:numPr>
          <w:ilvl w:val="0"/>
          <w:numId w:val="3"/>
        </w:numPr>
        <w:spacing w:before="100" w:beforeAutospacing="1" w:after="100" w:afterAutospacing="1"/>
        <w:rPr>
          <w:rFonts w:hint="eastAsia"/>
          <w:lang w:val="en"/>
        </w:rPr>
      </w:pPr>
      <w:r>
        <w:rPr>
          <w:rStyle w:val="11"/>
          <w:rFonts w:hint="eastAsia"/>
          <w:lang w:val="en"/>
        </w:rPr>
        <w:t>The Parties </w:t>
      </w:r>
    </w:p>
    <w:p>
      <w:pPr>
        <w:pStyle w:val="8"/>
        <w:rPr>
          <w:rFonts w:hint="eastAsia"/>
          <w:lang w:val="en"/>
        </w:rPr>
      </w:pPr>
      <w:r>
        <w:rPr>
          <w:rStyle w:val="11"/>
          <w:rFonts w:hint="eastAsia"/>
          <w:lang w:val="en"/>
        </w:rPr>
        <w:t>Data exporter(s): </w:t>
      </w:r>
    </w:p>
    <w:p>
      <w:pPr>
        <w:pStyle w:val="8"/>
        <w:rPr>
          <w:rFonts w:hint="eastAsia"/>
          <w:lang w:val="en"/>
        </w:rPr>
      </w:pPr>
      <w:r>
        <w:rPr>
          <w:rFonts w:hint="eastAsia"/>
          <w:lang w:val="en"/>
        </w:rPr>
        <w:t>Name: Customer, as stated and defined in the applicable Order (as such term is defined under the Agreement)</w:t>
      </w:r>
    </w:p>
    <w:p>
      <w:pPr>
        <w:pStyle w:val="8"/>
        <w:rPr>
          <w:rFonts w:hint="eastAsia"/>
          <w:lang w:val="en"/>
        </w:rPr>
      </w:pPr>
      <w:r>
        <w:rPr>
          <w:rFonts w:hint="eastAsia"/>
          <w:lang w:val="en"/>
        </w:rPr>
        <w:t>Trading Name (if different): </w:t>
      </w:r>
    </w:p>
    <w:p>
      <w:pPr>
        <w:pStyle w:val="8"/>
        <w:rPr>
          <w:rFonts w:hint="eastAsia"/>
          <w:lang w:val="en"/>
        </w:rPr>
      </w:pPr>
      <w:r>
        <w:rPr>
          <w:rFonts w:hint="eastAsia"/>
          <w:lang w:val="en"/>
        </w:rPr>
        <w:t>Address: Customer’s registered business address and any address provided to Linear at the time that Customer uses the Services.</w:t>
      </w:r>
    </w:p>
    <w:p>
      <w:pPr>
        <w:pStyle w:val="8"/>
        <w:rPr>
          <w:rFonts w:hint="eastAsia"/>
          <w:lang w:val="en"/>
        </w:rPr>
      </w:pPr>
      <w:r>
        <w:rPr>
          <w:rFonts w:hint="eastAsia"/>
          <w:lang w:val="en"/>
        </w:rPr>
        <w:t>Official Registration Number (if any) (company number or similar identifier):</w:t>
      </w:r>
    </w:p>
    <w:p>
      <w:pPr>
        <w:pStyle w:val="8"/>
        <w:rPr>
          <w:rFonts w:hint="eastAsia"/>
          <w:lang w:val="en"/>
        </w:rPr>
      </w:pPr>
      <w:r>
        <w:rPr>
          <w:rFonts w:hint="eastAsia"/>
          <w:lang w:val="en"/>
        </w:rPr>
        <w:t>Contact person’s name, position and contact details: .</w:t>
      </w:r>
    </w:p>
    <w:p>
      <w:pPr>
        <w:pStyle w:val="8"/>
        <w:rPr>
          <w:rFonts w:hint="eastAsia"/>
          <w:lang w:val="en"/>
        </w:rPr>
      </w:pPr>
      <w:r>
        <w:rPr>
          <w:rFonts w:hint="eastAsia"/>
          <w:lang w:val="en"/>
        </w:rPr>
        <w:t>Activities relevant to the data transferred under these Clauses: As described in Section 2 of the DPA.</w:t>
      </w:r>
    </w:p>
    <w:p>
      <w:pPr>
        <w:pStyle w:val="8"/>
        <w:rPr>
          <w:rFonts w:hint="eastAsia"/>
          <w:lang w:val="en"/>
        </w:rPr>
      </w:pPr>
      <w:r>
        <w:rPr>
          <w:rFonts w:hint="eastAsia"/>
          <w:lang w:val="en"/>
        </w:rPr>
        <w:t>Signature and date: .</w:t>
      </w:r>
    </w:p>
    <w:p>
      <w:pPr>
        <w:pStyle w:val="8"/>
        <w:rPr>
          <w:rFonts w:hint="eastAsia"/>
          <w:lang w:val="en"/>
        </w:rPr>
      </w:pPr>
      <w:r>
        <w:rPr>
          <w:rFonts w:hint="eastAsia"/>
          <w:lang w:val="en"/>
        </w:rPr>
        <w:t>Role (controller/processor): Controller </w:t>
      </w:r>
    </w:p>
    <w:p>
      <w:pPr>
        <w:pStyle w:val="8"/>
        <w:rPr>
          <w:rFonts w:hint="eastAsia"/>
          <w:lang w:val="en"/>
        </w:rPr>
      </w:pPr>
      <w:r>
        <w:rPr>
          <w:rStyle w:val="11"/>
          <w:rFonts w:hint="eastAsia"/>
          <w:lang w:val="en"/>
        </w:rPr>
        <w:t>Data importer(s): </w:t>
      </w:r>
    </w:p>
    <w:p>
      <w:pPr>
        <w:pStyle w:val="8"/>
        <w:rPr>
          <w:rFonts w:hint="eastAsia"/>
          <w:lang w:val="en"/>
        </w:rPr>
      </w:pPr>
      <w:r>
        <w:rPr>
          <w:rFonts w:hint="eastAsia"/>
          <w:lang w:val="en"/>
        </w:rPr>
        <w:t>Name: chatbond.co, Inc. </w:t>
      </w:r>
    </w:p>
    <w:p>
      <w:pPr>
        <w:pStyle w:val="8"/>
        <w:rPr>
          <w:rFonts w:hint="eastAsia"/>
          <w:lang w:val="en"/>
        </w:rPr>
      </w:pPr>
      <w:r>
        <w:rPr>
          <w:rFonts w:hint="eastAsia"/>
          <w:lang w:val="en"/>
        </w:rPr>
        <w:t xml:space="preserve">Address and contact information: </w:t>
      </w:r>
      <w:r>
        <w:rPr>
          <w:rFonts w:ascii="Segoe UI" w:hAnsi="Segoe UI" w:eastAsia="Segoe UI" w:cs="Segoe UI"/>
          <w:i w:val="0"/>
          <w:iCs w:val="0"/>
          <w:caps w:val="0"/>
          <w:color w:val="172B4D"/>
          <w:spacing w:val="0"/>
          <w:sz w:val="21"/>
          <w:szCs w:val="21"/>
          <w:shd w:val="clear" w:fill="FFFFFF"/>
        </w:rPr>
        <w:t>FLAT/RM A1, 11/F, Success Commercial Building, No. 245-251 Hennessy Road, Wanchai, Hong Kong</w:t>
      </w:r>
      <w:r>
        <w:rPr>
          <w:rFonts w:hint="eastAsia"/>
          <w:lang w:val="en"/>
        </w:rPr>
        <w:t xml:space="preserve">; </w:t>
      </w:r>
      <w:r>
        <w:rPr>
          <w:rFonts w:hint="eastAsia"/>
          <w:lang w:val="en"/>
        </w:rPr>
        <w:fldChar w:fldCharType="begin"/>
      </w:r>
      <w:r>
        <w:rPr>
          <w:rFonts w:hint="eastAsia"/>
          <w:lang w:val="en"/>
        </w:rPr>
        <w:instrText xml:space="preserve"> HYPERLINK "mailto:chatbond@chatbond.co" </w:instrText>
      </w:r>
      <w:r>
        <w:rPr>
          <w:rFonts w:hint="eastAsia"/>
          <w:lang w:val="en"/>
        </w:rPr>
        <w:fldChar w:fldCharType="separate"/>
      </w:r>
      <w:r>
        <w:rPr>
          <w:rStyle w:val="14"/>
          <w:rFonts w:hint="eastAsia"/>
          <w:lang w:val="en"/>
        </w:rPr>
        <w:t>chatbond@chatbond.co</w:t>
      </w:r>
      <w:r>
        <w:rPr>
          <w:rFonts w:hint="eastAsia"/>
          <w:lang w:val="en"/>
        </w:rPr>
        <w:fldChar w:fldCharType="end"/>
      </w:r>
    </w:p>
    <w:p>
      <w:pPr>
        <w:pStyle w:val="8"/>
        <w:rPr>
          <w:rFonts w:hint="eastAsia"/>
          <w:lang w:val="en"/>
        </w:rPr>
      </w:pPr>
      <w:r>
        <w:rPr>
          <w:rFonts w:hint="eastAsia"/>
          <w:lang w:val="en"/>
        </w:rPr>
        <w:t>Activities relevant to the data transferred under these Clauses: ... As described in Section 2 of the DPA.</w:t>
      </w:r>
    </w:p>
    <w:p>
      <w:pPr>
        <w:pStyle w:val="8"/>
        <w:rPr>
          <w:rFonts w:hint="eastAsia"/>
          <w:lang w:val="en"/>
        </w:rPr>
      </w:pPr>
      <w:r>
        <w:rPr>
          <w:rFonts w:hint="eastAsia"/>
          <w:lang w:val="en"/>
        </w:rPr>
        <w:t>Signature and date: </w:t>
      </w:r>
    </w:p>
    <w:p>
      <w:pPr>
        <w:pStyle w:val="8"/>
        <w:rPr>
          <w:rFonts w:hint="eastAsia"/>
          <w:lang w:val="en"/>
        </w:rPr>
      </w:pPr>
      <w:r>
        <w:rPr>
          <w:rFonts w:hint="eastAsia"/>
          <w:lang w:val="en"/>
        </w:rPr>
        <w:t>Role (controller/processor): As described in Section 2 of the DPA.</w:t>
      </w:r>
    </w:p>
    <w:p>
      <w:pPr>
        <w:numPr>
          <w:ilvl w:val="0"/>
          <w:numId w:val="4"/>
        </w:numPr>
        <w:spacing w:before="100" w:beforeAutospacing="1" w:after="100" w:afterAutospacing="1"/>
        <w:rPr>
          <w:rFonts w:hint="eastAsia"/>
          <w:lang w:val="en"/>
        </w:rPr>
      </w:pPr>
      <w:r>
        <w:rPr>
          <w:rStyle w:val="11"/>
          <w:rFonts w:hint="eastAsia"/>
          <w:lang w:val="en"/>
        </w:rPr>
        <w:t>Description of the Transfer</w:t>
      </w:r>
      <w:bookmarkStart w:id="0" w:name="_GoBack"/>
      <w:bookmarkEnd w:id="0"/>
    </w:p>
    <w:tbl>
      <w:tblPr>
        <w:tblStyle w:val="9"/>
        <w:tblW w:w="8355" w:type="dxa"/>
        <w:tblCellSpacing w:w="15" w:type="dxa"/>
        <w:tblInd w:w="0" w:type="dxa"/>
        <w:tblBorders>
          <w:top w:val="none" w:color="auto" w:sz="4" w:space="0"/>
          <w:left w:val="none" w:color="auto" w:sz="4" w:space="0"/>
          <w:bottom w:val="none" w:color="auto" w:sz="0" w:space="0"/>
          <w:right w:val="none" w:color="auto" w:sz="4" w:space="0"/>
          <w:insideH w:val="none" w:color="auto" w:sz="0" w:space="0"/>
          <w:insideV w:val="none" w:color="auto" w:sz="4" w:space="0"/>
        </w:tblBorders>
        <w:tblLayout w:type="fixed"/>
        <w:tblCellMar>
          <w:top w:w="0" w:type="dxa"/>
          <w:left w:w="108" w:type="dxa"/>
          <w:bottom w:w="0" w:type="dxa"/>
          <w:right w:w="108" w:type="dxa"/>
        </w:tblCellMar>
      </w:tblPr>
      <w:tblGrid>
        <w:gridCol w:w="4142"/>
        <w:gridCol w:w="4213"/>
      </w:tblGrid>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top w:val="nil"/>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Data Subjects</w:t>
            </w:r>
          </w:p>
        </w:tc>
        <w:tc>
          <w:tcPr>
            <w:tcW w:w="4168" w:type="dxa"/>
            <w:tcBorders>
              <w:top w:val="nil"/>
              <w:bottom w:val="single" w:color="auto" w:sz="4" w:space="0"/>
            </w:tcBorders>
            <w:tcMar>
              <w:top w:w="15" w:type="dxa"/>
              <w:left w:w="15" w:type="dxa"/>
              <w:bottom w:w="15" w:type="dxa"/>
              <w:right w:w="15" w:type="dxa"/>
            </w:tcMar>
            <w:vAlign w:val="center"/>
          </w:tcPr>
          <w:p>
            <w:pPr>
              <w:pStyle w:val="8"/>
              <w:rPr>
                <w:rFonts w:hint="eastAsia"/>
              </w:rPr>
            </w:pPr>
            <w:r>
              <w:rPr>
                <w:rFonts w:hint="eastAsia"/>
              </w:rPr>
              <w:t>As described in Exhibit A of the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Categories of Personal Data</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As described in Exhibit A of the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Special Category Personal Data (if applicable)</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As described in Exhibit A of the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Nature of the Processing </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As described in Exhibit A of the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Purposes of Processing</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As described in Exhibit A of the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Duration of Processing and Retention (or the criteria to determine such period) </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As described in Exhibit A of the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Frequency of the transfer</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As necessary to provide perform all obligations and rights with respect to Personal Data as provided in the Agreement or DPA </w:t>
            </w:r>
          </w:p>
        </w:tc>
      </w:tr>
      <w:tr>
        <w:tblPrEx>
          <w:tblBorders>
            <w:top w:val="none" w:color="auto" w:sz="4" w:space="0"/>
            <w:left w:val="none" w:color="auto" w:sz="4" w:space="0"/>
            <w:bottom w:val="none" w:color="auto" w:sz="0" w:space="0"/>
            <w:right w:val="none" w:color="auto" w:sz="4" w:space="0"/>
            <w:insideH w:val="none" w:color="auto" w:sz="0" w:space="0"/>
            <w:insideV w:val="none" w:color="auto" w:sz="4" w:space="0"/>
          </w:tblBorders>
          <w:tblCellMar>
            <w:top w:w="0" w:type="dxa"/>
            <w:left w:w="108" w:type="dxa"/>
            <w:bottom w:w="0" w:type="dxa"/>
            <w:right w:w="108" w:type="dxa"/>
          </w:tblCellMar>
        </w:tblPrEx>
        <w:trPr>
          <w:trHeight w:val="1556" w:hRule="atLeast"/>
          <w:tblCellSpacing w:w="15" w:type="dxa"/>
        </w:trPr>
        <w:tc>
          <w:tcPr>
            <w:tcW w:w="409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Recipients of Personal Data Transferred to the Data Importer</w:t>
            </w:r>
          </w:p>
        </w:tc>
        <w:tc>
          <w:tcPr>
            <w:tcW w:w="416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 xml:space="preserve">Company will maintain a list of Authorized Sub-Processors at: </w:t>
            </w:r>
            <w:r>
              <w:rPr>
                <w:rFonts w:hint="eastAsia"/>
              </w:rPr>
              <w:fldChar w:fldCharType="begin"/>
            </w:r>
            <w:r>
              <w:rPr>
                <w:rFonts w:hint="eastAsia"/>
              </w:rPr>
              <w:instrText xml:space="preserve"> HYPERLINK "https://trust.allyfy.chat/subprocessors" </w:instrText>
            </w:r>
            <w:r>
              <w:rPr>
                <w:rFonts w:hint="eastAsia"/>
              </w:rPr>
              <w:fldChar w:fldCharType="separate"/>
            </w:r>
            <w:r>
              <w:rPr>
                <w:rStyle w:val="14"/>
                <w:rFonts w:hint="eastAsia"/>
              </w:rPr>
              <w:t>https://trust.chatbond.co/subprocessors</w:t>
            </w:r>
            <w:r>
              <w:rPr>
                <w:rFonts w:hint="eastAsia"/>
              </w:rPr>
              <w:fldChar w:fldCharType="end"/>
            </w:r>
          </w:p>
        </w:tc>
      </w:tr>
    </w:tbl>
    <w:p>
      <w:pPr>
        <w:numPr>
          <w:ilvl w:val="0"/>
          <w:numId w:val="5"/>
        </w:numPr>
        <w:spacing w:before="100" w:beforeAutospacing="1" w:after="100" w:afterAutospacing="1"/>
        <w:rPr>
          <w:rFonts w:hint="eastAsia"/>
          <w:lang w:val="en"/>
        </w:rPr>
      </w:pPr>
      <w:r>
        <w:rPr>
          <w:rStyle w:val="11"/>
          <w:rFonts w:hint="eastAsia"/>
          <w:lang w:val="en"/>
        </w:rPr>
        <w:t>Competent Supervisory Authority </w:t>
      </w:r>
    </w:p>
    <w:p>
      <w:pPr>
        <w:pStyle w:val="8"/>
        <w:rPr>
          <w:rFonts w:hint="eastAsia"/>
          <w:lang w:val="en"/>
        </w:rPr>
      </w:pPr>
      <w:r>
        <w:rPr>
          <w:rFonts w:hint="eastAsia"/>
          <w:lang w:val="en"/>
        </w:rPr>
        <w:t>The supervisory authority shall be the supervisory authority of the Data Exporter</w:t>
      </w:r>
    </w:p>
    <w:p>
      <w:pPr>
        <w:pStyle w:val="8"/>
        <w:rPr>
          <w:rFonts w:hint="eastAsia"/>
          <w:lang w:val="en"/>
        </w:rPr>
      </w:pPr>
      <w:r>
        <w:rPr>
          <w:rStyle w:val="11"/>
          <w:rFonts w:hint="eastAsia"/>
          <w:lang w:val="en"/>
        </w:rPr>
        <w:t>Exhibit C</w:t>
      </w:r>
    </w:p>
    <w:p>
      <w:pPr>
        <w:pStyle w:val="8"/>
        <w:rPr>
          <w:rFonts w:hint="eastAsia"/>
          <w:lang w:val="en"/>
        </w:rPr>
      </w:pPr>
      <w:r>
        <w:rPr>
          <w:rStyle w:val="11"/>
          <w:rFonts w:hint="eastAsia"/>
          <w:lang w:val="en"/>
        </w:rPr>
        <w:t>Description of the Technical and Organisational Security Measures implemented by the Data Importer</w:t>
      </w:r>
    </w:p>
    <w:tbl>
      <w:tblPr>
        <w:tblStyle w:val="9"/>
        <w:tblW w:w="8355" w:type="dxa"/>
        <w:tblCellSpacing w:w="15" w:type="dxa"/>
        <w:tblInd w:w="0" w:type="dxa"/>
        <w:tblLayout w:type="fixed"/>
        <w:tblCellMar>
          <w:top w:w="0" w:type="dxa"/>
          <w:left w:w="108" w:type="dxa"/>
          <w:bottom w:w="0" w:type="dxa"/>
          <w:right w:w="108" w:type="dxa"/>
        </w:tblCellMar>
      </w:tblPr>
      <w:tblGrid>
        <w:gridCol w:w="4153"/>
        <w:gridCol w:w="4202"/>
      </w:tblGrid>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Technical and Organizational Security Measure</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Style w:val="11"/>
                <w:rFonts w:hint="eastAsia"/>
              </w:rPr>
              <w:t>Details</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of pseudonymisation and encryption of personal data</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has deployed secure methods and protocols for transmission of confidential or sensitive information over public networks. Databases housing sensitive customer data are encrypted at rest. Company uses only recommended secure cipher suites and protocols to encrypt all traffic in transit and Customer Data is securely encrypted with strong ciphers and configurations when at rest.</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ongoing confidentiality, integrity, availability and resilience of processing systems and services</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Company’s customer agreements contain strict confidentiality obligations. Additionally, Company requires every downstream Subprocessor to sign confidentiality provisions that are substantially similar to those contained in Company’s customer agreements.</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the ability to restore the availability and access to personal data in a timely manner in the event of a physical or technical incident</w:t>
            </w:r>
          </w:p>
        </w:tc>
        <w:tc>
          <w:tcPr>
            <w:tcW w:w="4157" w:type="dxa"/>
            <w:tcBorders>
              <w:bottom w:val="single" w:color="auto" w:sz="4" w:space="0"/>
            </w:tcBorders>
            <w:tcMar>
              <w:top w:w="15" w:type="dxa"/>
              <w:left w:w="15" w:type="dxa"/>
              <w:bottom w:w="15" w:type="dxa"/>
              <w:right w:w="15" w:type="dxa"/>
            </w:tcMar>
            <w:vAlign w:val="center"/>
          </w:tcPr>
          <w:p>
            <w:pPr>
              <w:pStyle w:val="8"/>
              <w:spacing w:after="240" w:afterAutospacing="0"/>
              <w:rPr>
                <w:rFonts w:hint="eastAsia"/>
              </w:rPr>
            </w:pPr>
            <w:r>
              <w:rPr>
                <w:rFonts w:hint="eastAsia"/>
              </w:rPr>
              <w:t>Daily, weekly and monthly backups of production datastores are taken.</w:t>
            </w:r>
          </w:p>
          <w:p>
            <w:pPr>
              <w:pStyle w:val="8"/>
              <w:rPr>
                <w:rFonts w:hint="eastAsia"/>
              </w:rPr>
            </w:pPr>
            <w:r>
              <w:rPr>
                <w:rFonts w:hint="eastAsia"/>
              </w:rPr>
              <w:t>Backups are periodically tested in accordance with information security and data management policies. </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user identification and authorization</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uses secure access protocols and processes and follows industry best-practices for authentication, including Multifactor Authentication and Single Sign On (SSO). All production access requires the use of two-factor authentication, and network infrastructure is securely configured to vendor and industry best practices to block all unnecessary ports, services, and unauthorized network traffic. </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the protection of data during transmission</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has deployed secure methods and protocols for transmission of confidential or sensitive information over public networks. Company uses only recommended secure cipher suites and protocols to encrypt all traffic in transit (i.e. TLS 1.2)</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the protection of data during storage</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Encryption-at-rest is automated using AWS’s transparent disk encryption, which uses industry standard AES-256 encryption to secure all volume (disk) data. All keys are fully managed by AWS. </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physical security of locations at which personal data are processed</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All Company processing occurs in physical data centers that are managed by AWS. https://aws.amazon.com/compliance/data-center/controls/</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events logging</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monitors access to applications, tools, and resources that process or store Customer Data, including cloud services. Monitoring of security logs is managed by the security and engineering teams. Log activities are investigated when necessary and escalated appropriately.</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system configuration, including default configuration </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adheres to a change management process to administer changes to the production environment for the Services, including changes to its underlying software, applications, and systems. All production changes are automated through CI/CD tools to ensure consistent configurations.</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data minimisation</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Company’s Customers unilaterally determine what data they route through the Services. As such, Company operates on a shared responsibility model. Company gives Customers control over exactly what data enters the platform. Additionally, Company has built in self-service functionality to the Services that allows Customers to delete and suppress data at their discretion.</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data quality</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has a multi-tiered approach for ensuring data quality. These measures include: (i) unit testing to ensure quality of logic used to process API calls, (ii) database schema validation rules which execute against data before it is saved to our database, (iii) a schema-first API design and strong typing to enforce a strict contract between official clients and API resolvers. Company applies these measures across the board, both to ensure the quality of any Usage Data that Company collects and to ensure that the Company Platform is operating within expected parameters.</w:t>
            </w:r>
          </w:p>
          <w:p>
            <w:pPr>
              <w:pStyle w:val="8"/>
              <w:rPr>
                <w:rFonts w:hint="eastAsia"/>
              </w:rPr>
            </w:pPr>
            <w:r>
              <w:rPr>
                <w:rFonts w:hint="eastAsia"/>
              </w:rPr>
              <w:t>Company ensures that data quality is maintained from the time a Customer sends Customer Data into the Services and until that Customer Data is presented or exported.</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limited data retention</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Customers unilaterally determine what data they route through the Services. As such, Company operates on a shared responsibility model. If a Customer is unable to delete Personal Data via the self-services functionality of the Services, then the Company deletes such Personal Data upon the Customer's written request, within the timeframe specified in this DPA and in accordance with Applicable Data Protection Law. All Personal Data is deleted from the Services following service termination.</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ensuring accountability</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Company has adopted measures for ensuring accountability, such as implementing data protection and information security policies across the business, recording and reporting Personal Data Breaches, and formally assigning roles and responsibilities for information security and data privacy functions. Additionally, the Company conducts regular third-party audits to ensure compliance with our privacy and security standards.</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Measures for allowing data portability and ensuring erasure</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Personal Data submitted to the Services by Customer may be deleted by the Customer or at the Customer’s request.</w:t>
            </w:r>
          </w:p>
          <w:p>
            <w:pPr>
              <w:pStyle w:val="8"/>
              <w:rPr>
                <w:rFonts w:hint="eastAsia"/>
              </w:rPr>
            </w:pPr>
            <w:r>
              <w:rPr>
                <w:rFonts w:hint="eastAsia"/>
              </w:rPr>
              <w:t>Personal Data is incidental to the Company’s Services. Based on Privacy by Design and Data Minimization principles, Company severely limits the instances of Personal Data collection and processing within the Services. Most use cases for porting Personal Data from Company are not applicable. However, Company will respond to all requests for data porting in order to address Customer needs.</w:t>
            </w:r>
          </w:p>
        </w:tc>
      </w:tr>
      <w:tr>
        <w:tblPrEx>
          <w:tblCellMar>
            <w:top w:w="0" w:type="dxa"/>
            <w:left w:w="108" w:type="dxa"/>
            <w:bottom w:w="0" w:type="dxa"/>
            <w:right w:w="108" w:type="dxa"/>
          </w:tblCellMar>
        </w:tblPrEx>
        <w:trPr>
          <w:tblCellSpacing w:w="15" w:type="dxa"/>
        </w:trPr>
        <w:tc>
          <w:tcPr>
            <w:tcW w:w="4108"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Technical and organizational measures of sub-processors</w:t>
            </w:r>
          </w:p>
        </w:tc>
        <w:tc>
          <w:tcPr>
            <w:tcW w:w="4157" w:type="dxa"/>
            <w:tcBorders>
              <w:bottom w:val="single" w:color="auto" w:sz="4" w:space="0"/>
            </w:tcBorders>
            <w:tcMar>
              <w:top w:w="15" w:type="dxa"/>
              <w:left w:w="15" w:type="dxa"/>
              <w:bottom w:w="15" w:type="dxa"/>
              <w:right w:w="15" w:type="dxa"/>
            </w:tcMar>
            <w:vAlign w:val="center"/>
          </w:tcPr>
          <w:p>
            <w:pPr>
              <w:pStyle w:val="8"/>
              <w:rPr>
                <w:rFonts w:hint="eastAsia"/>
              </w:rPr>
            </w:pPr>
            <w:r>
              <w:rPr>
                <w:rFonts w:hint="eastAsia"/>
              </w:rPr>
              <w:t>The Company enters into Data Processing Agreements with its Authorized Sub-Processors with data protection obligations substantially similar to those contained in this DPA.</w:t>
            </w:r>
          </w:p>
        </w:tc>
      </w:tr>
    </w:tbl>
    <w:p>
      <w:pPr>
        <w:numPr>
          <w:ilvl w:val="0"/>
          <w:numId w:val="0"/>
        </w:numPr>
        <w:spacing w:before="100" w:beforeAutospacing="1" w:after="100" w:afterAutospacing="1"/>
        <w:rPr>
          <w:rFonts w:hint="eastAsia"/>
          <w:lang w:val="en"/>
        </w:rPr>
      </w:pPr>
    </w:p>
    <w:sectPr>
      <w:pgSz w:w="11906" w:h="16838"/>
      <w:pgMar w:top="1440" w:right="1800" w:bottom="1440" w:left="1800"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8762DC"/>
    <w:multiLevelType w:val="multilevel"/>
    <w:tmpl w:val="258762D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6CD2622"/>
    <w:multiLevelType w:val="multilevel"/>
    <w:tmpl w:val="66CD26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6AFC112D"/>
    <w:multiLevelType w:val="multilevel"/>
    <w:tmpl w:val="6AFC112D"/>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
    <w:nsid w:val="6E101A3F"/>
    <w:multiLevelType w:val="multilevel"/>
    <w:tmpl w:val="6E101A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2D23A1B"/>
    <w:multiLevelType w:val="multilevel"/>
    <w:tmpl w:val="72D23A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SnapToGridInCell/>
    <w:doNotWrapTextWithPunct/>
    <w:doNotUseEastAsianBreakRules/>
    <w:growAutofit/>
    <w:useFELayout/>
    <w:doNotUseIndentAsNumberingTabStop/>
    <w:compatSetting w:name="compatibilityMode" w:uri="http://schemas.microsoft.com/office/word" w:val="15"/>
    <w:compatSetting w:name="differentiateMultirowTableHeaders" w:uri="http://schemas.microsoft.com/office/word" w:val="1"/>
  </w:compat>
  <w:docVars>
    <w:docVar w:name="commondata" w:val="eyJoZGlkIjoiMGZjMGY0NGZjNGU3ZjQwMmM2NTViYTQwMTE0ZTkxODIifQ=="/>
  </w:docVars>
  <w:rsids>
    <w:rsidRoot w:val="003C7CA4"/>
    <w:rsid w:val="001A69A6"/>
    <w:rsid w:val="003C7CA4"/>
    <w:rsid w:val="00A42D72"/>
    <w:rsid w:val="00B13EFE"/>
    <w:rsid w:val="00CE705E"/>
    <w:rsid w:val="073836D3"/>
    <w:rsid w:val="10C86D7C"/>
    <w:rsid w:val="36A11EAA"/>
    <w:rsid w:val="3A461B67"/>
    <w:rsid w:val="3BEB312E"/>
    <w:rsid w:val="501C5C9C"/>
    <w:rsid w:val="5B6046CF"/>
    <w:rsid w:val="64FB45B4"/>
    <w:rsid w:val="6EEC3222"/>
    <w:rsid w:val="7C063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link w:val="15"/>
    <w:autoRedefine/>
    <w:qFormat/>
    <w:uiPriority w:val="9"/>
    <w:pPr>
      <w:spacing w:before="100" w:beforeAutospacing="1" w:after="100" w:afterAutospacing="1"/>
      <w:outlineLvl w:val="0"/>
    </w:pPr>
    <w:rPr>
      <w:b/>
      <w:bCs/>
      <w:kern w:val="36"/>
      <w:sz w:val="48"/>
      <w:szCs w:val="48"/>
    </w:rPr>
  </w:style>
  <w:style w:type="paragraph" w:styleId="3">
    <w:name w:val="heading 3"/>
    <w:basedOn w:val="1"/>
    <w:link w:val="16"/>
    <w:qFormat/>
    <w:uiPriority w:val="9"/>
    <w:pPr>
      <w:spacing w:before="100" w:beforeAutospacing="1" w:after="100" w:afterAutospacing="1"/>
      <w:outlineLvl w:val="2"/>
    </w:pPr>
    <w:rPr>
      <w:b/>
      <w:bCs/>
      <w:sz w:val="27"/>
      <w:szCs w:val="27"/>
    </w:rPr>
  </w:style>
  <w:style w:type="paragraph" w:styleId="4">
    <w:name w:val="heading 4"/>
    <w:basedOn w:val="1"/>
    <w:link w:val="17"/>
    <w:qFormat/>
    <w:uiPriority w:val="9"/>
    <w:pPr>
      <w:spacing w:before="100" w:beforeAutospacing="1" w:after="100" w:afterAutospacing="1"/>
      <w:outlineLvl w:val="3"/>
    </w:pPr>
    <w:rPr>
      <w:b/>
      <w:bCs/>
    </w:rPr>
  </w:style>
  <w:style w:type="paragraph" w:styleId="5">
    <w:name w:val="heading 5"/>
    <w:basedOn w:val="1"/>
    <w:link w:val="18"/>
    <w:qFormat/>
    <w:uiPriority w:val="9"/>
    <w:pPr>
      <w:spacing w:before="100" w:beforeAutospacing="1" w:after="100" w:afterAutospacing="1"/>
      <w:outlineLvl w:val="4"/>
    </w:pPr>
    <w:rPr>
      <w:b/>
      <w:bCs/>
      <w:sz w:val="20"/>
      <w:szCs w:val="20"/>
    </w:rPr>
  </w:style>
  <w:style w:type="character" w:default="1" w:styleId="10">
    <w:name w:val="Default Paragraph Font"/>
    <w:semiHidden/>
    <w:unhideWhenUsed/>
    <w:uiPriority w:val="1"/>
  </w:style>
  <w:style w:type="table" w:default="1" w:styleId="9">
    <w:name w:val="Normal Table"/>
    <w:autoRedefine/>
    <w:semiHidden/>
    <w:unhideWhenUsed/>
    <w:uiPriority w:val="99"/>
    <w:tblPr>
      <w:tblCellMar>
        <w:top w:w="0" w:type="dxa"/>
        <w:left w:w="108" w:type="dxa"/>
        <w:bottom w:w="0" w:type="dxa"/>
        <w:right w:w="108" w:type="dxa"/>
      </w:tblCellMar>
    </w:tblPr>
  </w:style>
  <w:style w:type="paragraph" w:styleId="6">
    <w:name w:val="footer"/>
    <w:basedOn w:val="1"/>
    <w:link w:val="21"/>
    <w:autoRedefine/>
    <w:unhideWhenUsed/>
    <w:uiPriority w:val="99"/>
    <w:pPr>
      <w:tabs>
        <w:tab w:val="center" w:pos="4153"/>
        <w:tab w:val="right" w:pos="8306"/>
      </w:tabs>
      <w:snapToGrid w:val="0"/>
    </w:pPr>
    <w:rPr>
      <w:sz w:val="18"/>
      <w:szCs w:val="18"/>
    </w:rPr>
  </w:style>
  <w:style w:type="paragraph" w:styleId="7">
    <w:name w:val="header"/>
    <w:basedOn w:val="1"/>
    <w:link w:val="20"/>
    <w:autoRedefine/>
    <w:unhideWhenUsed/>
    <w:qFormat/>
    <w:uiPriority w:val="99"/>
    <w:pPr>
      <w:tabs>
        <w:tab w:val="center" w:pos="4153"/>
        <w:tab w:val="right" w:pos="8306"/>
      </w:tabs>
      <w:snapToGrid w:val="0"/>
      <w:jc w:val="center"/>
    </w:pPr>
    <w:rPr>
      <w:sz w:val="18"/>
      <w:szCs w:val="18"/>
    </w:rPr>
  </w:style>
  <w:style w:type="paragraph" w:styleId="8">
    <w:name w:val="Normal (Web)"/>
    <w:basedOn w:val="1"/>
    <w:autoRedefine/>
    <w:semiHidden/>
    <w:unhideWhenUsed/>
    <w:qFormat/>
    <w:uiPriority w:val="99"/>
    <w:pPr>
      <w:spacing w:before="100" w:beforeAutospacing="1" w:after="100" w:afterAutospacing="1"/>
    </w:pPr>
  </w:style>
  <w:style w:type="character" w:styleId="11">
    <w:name w:val="Strong"/>
    <w:basedOn w:val="10"/>
    <w:qFormat/>
    <w:uiPriority w:val="22"/>
    <w:rPr>
      <w:b/>
      <w:bCs/>
    </w:rPr>
  </w:style>
  <w:style w:type="character" w:styleId="12">
    <w:name w:val="FollowedHyperlink"/>
    <w:basedOn w:val="10"/>
    <w:autoRedefine/>
    <w:semiHidden/>
    <w:unhideWhenUsed/>
    <w:qFormat/>
    <w:uiPriority w:val="99"/>
    <w:rPr>
      <w:color w:val="800080"/>
      <w:u w:val="single"/>
    </w:rPr>
  </w:style>
  <w:style w:type="character" w:styleId="13">
    <w:name w:val="Emphasis"/>
    <w:basedOn w:val="10"/>
    <w:qFormat/>
    <w:uiPriority w:val="20"/>
    <w:rPr>
      <w:i/>
      <w:iCs/>
    </w:rPr>
  </w:style>
  <w:style w:type="character" w:styleId="14">
    <w:name w:val="Hyperlink"/>
    <w:basedOn w:val="10"/>
    <w:autoRedefine/>
    <w:semiHidden/>
    <w:unhideWhenUsed/>
    <w:qFormat/>
    <w:uiPriority w:val="99"/>
    <w:rPr>
      <w:color w:val="0000FF"/>
      <w:u w:val="single"/>
    </w:rPr>
  </w:style>
  <w:style w:type="character" w:customStyle="1" w:styleId="15">
    <w:name w:val="标题 1 字符"/>
    <w:basedOn w:val="10"/>
    <w:link w:val="2"/>
    <w:autoRedefine/>
    <w:qFormat/>
    <w:locked/>
    <w:uiPriority w:val="9"/>
    <w:rPr>
      <w:rFonts w:hint="eastAsia" w:ascii="宋体" w:hAnsi="宋体" w:eastAsia="宋体" w:cs="宋体"/>
      <w:b/>
      <w:bCs/>
      <w:kern w:val="44"/>
      <w:sz w:val="44"/>
      <w:szCs w:val="44"/>
    </w:rPr>
  </w:style>
  <w:style w:type="character" w:customStyle="1" w:styleId="16">
    <w:name w:val="标题 3 字符"/>
    <w:basedOn w:val="10"/>
    <w:link w:val="3"/>
    <w:autoRedefine/>
    <w:semiHidden/>
    <w:locked/>
    <w:uiPriority w:val="9"/>
    <w:rPr>
      <w:rFonts w:hint="eastAsia" w:ascii="宋体" w:hAnsi="宋体" w:eastAsia="宋体" w:cs="宋体"/>
      <w:b/>
      <w:bCs/>
      <w:sz w:val="32"/>
      <w:szCs w:val="32"/>
    </w:rPr>
  </w:style>
  <w:style w:type="character" w:customStyle="1" w:styleId="17">
    <w:name w:val="标题 4 字符"/>
    <w:basedOn w:val="10"/>
    <w:link w:val="4"/>
    <w:autoRedefine/>
    <w:semiHidden/>
    <w:qFormat/>
    <w:locked/>
    <w:uiPriority w:val="9"/>
    <w:rPr>
      <w:rFonts w:hint="eastAsia" w:asciiTheme="majorHAnsi" w:hAnsiTheme="majorHAnsi" w:eastAsiaTheme="majorEastAsia" w:cstheme="majorBidi"/>
      <w:b/>
      <w:bCs/>
      <w:sz w:val="28"/>
      <w:szCs w:val="28"/>
    </w:rPr>
  </w:style>
  <w:style w:type="character" w:customStyle="1" w:styleId="18">
    <w:name w:val="标题 5 字符"/>
    <w:basedOn w:val="10"/>
    <w:link w:val="5"/>
    <w:autoRedefine/>
    <w:semiHidden/>
    <w:locked/>
    <w:uiPriority w:val="9"/>
    <w:rPr>
      <w:rFonts w:hint="eastAsia" w:ascii="宋体" w:hAnsi="宋体" w:eastAsia="宋体" w:cs="宋体"/>
      <w:b/>
      <w:bCs/>
      <w:sz w:val="28"/>
      <w:szCs w:val="28"/>
    </w:rPr>
  </w:style>
  <w:style w:type="paragraph" w:customStyle="1" w:styleId="19">
    <w:name w:val="msonormal"/>
    <w:basedOn w:val="1"/>
    <w:semiHidden/>
    <w:uiPriority w:val="99"/>
    <w:pPr>
      <w:spacing w:before="100" w:beforeAutospacing="1" w:after="100" w:afterAutospacing="1"/>
    </w:pPr>
  </w:style>
  <w:style w:type="character" w:customStyle="1" w:styleId="20">
    <w:name w:val="页眉 字符"/>
    <w:basedOn w:val="10"/>
    <w:link w:val="7"/>
    <w:autoRedefine/>
    <w:locked/>
    <w:uiPriority w:val="99"/>
    <w:rPr>
      <w:rFonts w:hint="eastAsia" w:ascii="宋体" w:hAnsi="宋体" w:eastAsia="宋体" w:cs="宋体"/>
      <w:sz w:val="18"/>
      <w:szCs w:val="18"/>
    </w:rPr>
  </w:style>
  <w:style w:type="character" w:customStyle="1" w:styleId="21">
    <w:name w:val="页脚 字符"/>
    <w:basedOn w:val="10"/>
    <w:link w:val="6"/>
    <w:autoRedefine/>
    <w:locked/>
    <w:uiPriority w:val="99"/>
    <w:rPr>
      <w:rFonts w:hint="eastAsia" w:ascii="宋体" w:hAnsi="宋体" w:eastAsia="宋体" w:cs="宋体"/>
      <w:sz w:val="18"/>
      <w:szCs w:val="18"/>
    </w:rPr>
  </w:style>
  <w:style w:type="paragraph" w:customStyle="1" w:styleId="22">
    <w:name w:val="text-sm"/>
    <w:basedOn w:val="1"/>
    <w:autoRedefine/>
    <w:semiHidden/>
    <w:qFormat/>
    <w:uiPriority w:val="99"/>
    <w:pPr>
      <w:spacing w:before="100" w:beforeAutospacing="1" w:after="100" w:afterAutospacing="1"/>
    </w:pPr>
  </w:style>
  <w:style w:type="paragraph" w:customStyle="1" w:styleId="23">
    <w:name w:val="text-center"/>
    <w:basedOn w:val="1"/>
    <w:semiHidden/>
    <w:qFormat/>
    <w:uiPriority w:val="99"/>
    <w:pPr>
      <w:spacing w:before="100" w:beforeAutospacing="1" w:after="100" w:afterAutospacing="1"/>
    </w:pPr>
  </w:style>
  <w:style w:type="paragraph" w:customStyle="1" w:styleId="24">
    <w:name w:val="w-full"/>
    <w:basedOn w:val="1"/>
    <w:semiHidden/>
    <w:qFormat/>
    <w:uiPriority w:val="99"/>
    <w:pPr>
      <w:spacing w:before="100" w:beforeAutospacing="1" w:after="100" w:afterAutospacing="1"/>
    </w:pPr>
  </w:style>
  <w:style w:type="character" w:customStyle="1" w:styleId="25">
    <w:name w:val="sr-only"/>
    <w:basedOn w:val="10"/>
    <w:autoRedefine/>
    <w:qFormat/>
    <w:uiPriority w:val="0"/>
  </w:style>
  <w:style w:type="character" w:customStyle="1" w:styleId="26">
    <w:name w:val="text-lg"/>
    <w:basedOn w:val="10"/>
    <w:qFormat/>
    <w:uiPriority w:val="0"/>
  </w:style>
  <w:style w:type="character" w:customStyle="1" w:styleId="27">
    <w:name w:val="block"/>
    <w:basedOn w:val="10"/>
    <w:autoRedefine/>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17</Pages>
  <Words>4758</Words>
  <Characters>26269</Characters>
  <Lines>1134</Lines>
  <Paragraphs>274</Paragraphs>
  <TotalTime>164</TotalTime>
  <ScaleCrop>false</ScaleCrop>
  <LinksUpToDate>false</LinksUpToDate>
  <CharactersWithSpaces>30778</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2024-05-14T08:41:00Z</dcterms:created>
  <dc:creator>瑞豪 刁</dc:creator>
  <cp:lastModifiedBy>南北</cp:lastModifiedBy>
  <dcterms:modified xsi:type="dcterms:W3CDTF">2024-07-17T07:18:59Z</dcterms:modified>
  <dc:title>Chatbase | Custom ChatGPT for your data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24A408AD497C4EBB9C9982A794E9BE3A_12</vt:lpwstr>
  </property>
</Properties>
</file>