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erif CJK SC"/>
          <w:b/>
          <w:sz w:val="36"/>
        </w:rPr>
        <w:t>星岚储能一期项目资料摘录</w:t>
      </w:r>
    </w:p>
    <w:p>
      <w:pPr>
        <w:jc w:val="center"/>
      </w:pPr>
      <w:r>
        <w:rPr>
          <w:rFonts w:ascii="Times New Roman" w:hAnsi="Times New Roman" w:eastAsia="Noto Sans CJK SC"/>
          <w:sz w:val="20"/>
        </w:rPr>
        <w:t>完全虚构测试材料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项目名称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星岚储能一期项目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性质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虚构测试项目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材料来源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项目合作方内部资料及供应商资料摘录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项目确有前期技术验证、设备采购和合作方对接活动，2025年上半年存在实际设备采购。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陈某曾参与部分资源对接，但未被项目公司授权以项目名义面向社会自然人募集资金。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项目内部不存在向刘某、周某、郑某出售的标准化“内部投资份额”，亦无项目公司出具的保本、固定收益或到期退出承诺。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2025年4月至6月，与设备采购有关的三笔付款合计人民币155万元，供应商确认已实际收取，但该设备采购与刘某等人是否享有投资权益属于不同事实，应分别审查。</w:t>
      </w:r>
    </w:p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